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23.png" ContentType="image/png"/>
  <Override PartName="/word/media/rId45.png" ContentType="image/png"/>
  <Override PartName="/word/media/rId84.png" ContentType="image/png"/>
  <Override PartName="/word/media/rId49.png" ContentType="image/png"/>
  <Override PartName="/word/media/rId53.png" ContentType="image/png"/>
  <Override PartName="/word/media/rId70.png" ContentType="image/png"/>
  <Override PartName="/word/media/rId66.png" ContentType="image/png"/>
  <Override PartName="/word/media/rId62.png" ContentType="image/png"/>
  <Override PartName="/word/media/rId27.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of</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July</w:t>
      </w:r>
      <w:r>
        <w:t xml:space="preserve"> </w:t>
      </w:r>
      <w:r>
        <w:t xml:space="preserve">13,</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range—from the Oldowan and Acheulean to the Middle Paleolithic—and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interpretive challenges. Artifacts identified as spheroids in one study may be classified as bolas or attributed to entirely different technological categories in another.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w:t>
      </w:r>
    </w:p>
    <w:p>
      <w:pPr>
        <w:pStyle w:val="BodyText"/>
      </w:pPr>
      <w:r>
        <w:t xml:space="preserve">At present, the technological category and function of spheroids remain central topics of debate.</w:t>
      </w:r>
      <w:r>
        <w:t xml:space="preserve"> </w:t>
      </w:r>
      <w:r>
        <w:t xml:space="preserve"> </w:t>
      </w:r>
      <w:r>
        <w:t xml:space="preserve">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naturally produced through high-intensity battering</w:t>
      </w:r>
      <w:r>
        <w:t xml:space="preserve"> </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Rather than reflecting a single functional or technological model, these varying interpretations may instead capture regional variability shaped by differences in raw materials, morphologies, and reduction strategies. As</w:t>
      </w:r>
      <w:r>
        <w:t xml:space="preserve"> </w:t>
      </w:r>
      <w:r>
        <w:t xml:space="preserve">Cabanès et al. (2024)</w:t>
      </w:r>
      <w:r>
        <w:t xml:space="preserve"> </w:t>
      </w:r>
      <w:r>
        <w:t xml:space="preserve">noted, spheroids may not represent a homogenous category. This highlights the need to move beyond generalized typological categories and instead engage more directly with local contexts and specific assemblages. Site-specific studies are therefore essential for reconstructing the spatial and temporal distribution of spheroids, as well as for identifying their distinct technological traits and functions.</w:t>
      </w:r>
    </w:p>
    <w:p>
      <w:pPr>
        <w:pStyle w:val="BodyText"/>
      </w:pPr>
      <w:r>
        <w:t xml:space="preserve">In this study, we demonstrate a novel approach to investigating the technological status of spheroids with a case study from the Middle Pleistocene site of Qianshangying in northern China. Among an assemblage previously classified as a simple core-flake industry, we identified a group spheroids and subspheroids. We observed notable differences between these artifacts and multifacial cores or polyhedrons</w:t>
      </w:r>
      <w:r>
        <w:t xml:space="preserve"> </w:t>
      </w:r>
      <w:r>
        <w:t xml:space="preserve"> </w:t>
      </w:r>
      <w:r>
        <w:t xml:space="preserve">and hypothesized distinct reduction sequences. Our goal was to quantitatively evaluate whether these spheroids exhibited standardized morphology and production patterns, and whether their tendency toward spherical forms resulted from deliberate and systematic reduction processes that were distinct from the multifacial cores in the assemblage. To accomplish our goal we conducted quantitative morphological and technological analyses of the spheroids recovered from Qianshangying. Our results contribute the debate about whether the concept and manufacture of spheroids represent a distinct technological tradition, separate from conventional flake-based strategies. Our approach includes the first open source and reproducible application of spherical harmonic analysis to an archaeological stone artefact assemblage. These analyses help clarify the technological strategy behind spheroid production at Qianshangying, within the broader context of Middle Pleistocene lithic practices in northern China.</w:t>
      </w:r>
    </w:p>
    <w:bookmarkEnd w:id="22"/>
    <w:bookmarkStart w:id="31" w:name="X437c305bb3e2d1cb82b2adb3bbfd18fbb36e1d2"/>
    <w:p>
      <w:pPr>
        <w:pStyle w:val="Heading1"/>
      </w:pPr>
      <w:r>
        <w:t xml:space="preserve">Context of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The assemblage appears to be largely in situ, exhibiting minimal disturbance after deposition and well-preserved patterns of technological combination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w:t>
      </w:r>
      <w:r>
        <w:t xml:space="preserve"> </w:t>
      </w:r>
      <w:r>
        <w:t xml:space="preserve">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Lava dominates the assemblage (n=637, 66.7%), followed by siliceous dolomite (n=209, 21.9%), with chert and other materials comprising the remainder (n=53, 5.5% and n=56, 5.9% respectively). Spheroids show no strong raw material preference. Of the 12 identified spheroids, 75.0% are lava (n = 9), 16.7% are siliceous dolomite (n = 2), and 8.3% is quartzite (n=1, classified under</w:t>
      </w:r>
      <w:r>
        <w:t xml:space="preserve"> </w:t>
      </w:r>
      <w:r>
        <w:t xml:space="preserve">“</w:t>
      </w:r>
      <w:r>
        <w:t xml:space="preserve">other</w:t>
      </w:r>
      <w:r>
        <w:t xml:space="preserve">”</w:t>
      </w:r>
      <w:r>
        <w:t xml:space="preserve">), roughly mirroring the assemblage’s overall composition except for the absence of chert. However, when compared to cores, which are 66.0% lava (n = 62), 22.3% siliceous dolomite (n = 21), 4.3% chert (n = 4), and 7.4% other (n = 7), spheroids show a higher frequency of lava use, suggesting the different preferences in raw material selection for the spheroids and the cores. (pie chart in need?)</w:t>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0" w:name="fig-core-spheroid-size"/>
          <w:p>
            <w:pPr>
              <w:pStyle w:val="Compact"/>
              <w:jc w:val="center"/>
            </w:pPr>
            <w:r>
              <w:drawing>
                <wp:inline>
                  <wp:extent cx="5943600" cy="4754880"/>
                  <wp:effectExtent b="0" l="0" r="0" t="0"/>
                  <wp:docPr descr="" title="" id="28" name="Picture"/>
                  <a:graphic>
                    <a:graphicData uri="http://schemas.openxmlformats.org/drawingml/2006/picture">
                      <pic:pic>
                        <pic:nvPicPr>
                          <pic:cNvPr descr="paper_files/figure-docx/fig-core-spheroid-size-1.png" id="29"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Box plot comparing of core, spheroid, and multifacial core dimensions</w:t>
            </w:r>
          </w:p>
          <w:bookmarkEnd w:id="30"/>
        </w:tc>
      </w:tr>
    </w:tbl>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core-spheroid-size">
        <w:r>
          <w:rPr>
            <w:rStyle w:val="Hyperlink"/>
          </w:rPr>
          <w:t xml:space="preserve">Figure 2</w:t>
        </w:r>
      </w:hyperlink>
      <w:r>
        <w:t xml:space="preserve">. Two spheroids showed outlier values in size, being either unusually large or small, while the rest exhibited relatively concentrated size distributions. In contrast, cores displayed greater variability in size, with standard deviations of 29.8 mm, 24.2 mm, and 20.3 mm for length, width, and thickness, respectively. The polyhedrons and multifacial cores showed less variation than the overall core group, but their dimensional variability remained substantially greater than that of the spheroids. Additionally, spheroids tend to have similar values across length, width, and thickness, reflecting their overall symmetry. In contrast, cores, including polyhedrons and multifacial cores show marked differences among these dimensions, indicating more irregular and elongated forms.</w:t>
      </w:r>
    </w:p>
    <w:bookmarkEnd w:id="31"/>
    <w:bookmarkStart w:id="43"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6"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2"/>
    <w:bookmarkStart w:id="3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is first mapped onto a unit sphere and then expressed as a combination of spherical harmonic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The shape is represented by a set of coefficients</w:t>
      </w:r>
      <w:r>
        <w:t xml:space="preserve"> </w:t>
      </w:r>
      <m:oMath>
        <m:acc>
          <m:accPr>
            <m:chr m:val="̂"/>
          </m:accPr>
          <m:e>
            <m:r>
              <m:t>f</m:t>
            </m:r>
          </m:e>
        </m:acc>
        <m:d>
          <m:dPr>
            <m:begChr m:val="("/>
            <m:endChr m:val=")"/>
            <m:sepChr m:val=""/>
            <m:grow/>
          </m:dPr>
          <m:e>
            <m:r>
              <m:t>l</m:t>
            </m:r>
            <m:r>
              <m:rPr>
                <m:sty m:val="p"/>
              </m:rPr>
              <m:t>,</m:t>
            </m:r>
            <m:r>
              <m:t>m</m:t>
            </m:r>
          </m:e>
        </m:d>
      </m:oMath>
      <w:r>
        <w:t xml:space="preserve">, which capture how much each function contributes.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3</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 They find that lithic reduction resulted in the spheroids becoming more spherical, and concluded that spheroids represent intentionally knapped items, however they did not provide code to document their analysis.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We hope to demonstrate the value of this method for quantitative shape analyses of objects that are roughly spherical in shape, such as the spheroids and cores in our case study from Qianshangying.</w:t>
      </w:r>
    </w:p>
    <w:p>
      <w:pPr>
        <w:pStyle w:val="BodyText"/>
      </w:pPr>
      <w:r>
        <w:t xml:space="preserve">We first imported, cleaned, and simplified the STL files of spheroids and cores to extract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variation between models, we applied UMAP for dimensionality reduction and visualization</w:t>
      </w:r>
      <w:r>
        <w:t xml:space="preserve"> </w:t>
      </w:r>
      <w:r>
        <w:t xml:space="preserve">(Bavel et al., 2023)</w:t>
      </w:r>
      <w:r>
        <w:t xml:space="preserve">. We included a set of standard geometric models—such as sphere, rounded cube, ellipsoid (1.2:1:0.8) and box (1.2:1:1), and disc-like (flattened, and like discoid core)—in the SPHARM analysis and UMAP as controls to aid in the interpretation of the results. Spheroids and cores were positioned in this morphospace based on their morphological similarity to these reference models: individuals that cluster more closely to a specific standard form exhibit corresponding shape characteristics. All these were conducted in Python. This study represents the first attempt that we are aware of to apply an open source and reproducible SPHARM analysis for the classification of stone artefacts.</w:t>
      </w:r>
    </w:p>
    <w:bookmarkEnd w:id="33"/>
    <w:bookmarkStart w:id="3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4"/>
    <w:bookmarkStart w:id="35" w:name="centroid-offset"/>
    <w:p>
      <w:pPr>
        <w:pStyle w:val="Heading3"/>
      </w:pPr>
      <w:r>
        <w:t xml:space="preserve">Centroid offset</w:t>
      </w:r>
    </w:p>
    <w:p>
      <w:pPr>
        <w:pStyle w:val="FirstParagraph"/>
      </w:pPr>
      <w:r>
        <w:t xml:space="preserve">We also used the distance between its centre of mass (CoM) and the centre of its bounding box (CoBB) as a measure of volumetric symmetry</w:t>
      </w:r>
      <w:r>
        <w:t xml:space="preserve"> </w:t>
      </w:r>
      <w:r>
        <w:t xml:space="preserve">(Muller et al., 2023)</w:t>
      </w:r>
      <w:r>
        <w:t xml:space="preserve">. A perfect sphere will have its CoM and CoBB perfectly aligned, resulting in a zero offset. As the object becomes more irregular or asymmetric, this offset increases. For each 3D model, the CoBB is defined as the midpoint of the maximum orthogonal dimensions—length (y), width (x), and thickness (z)—of its minimum bounding box. The CoM, which approximates the true mass center for objects made of homogeneous materials, is computed by weighting each triangular face of the mesh by its surface area and normalizing the result. The distance between CoM and CoBB, normalized by the artifact’s volume, serves as a quantitative indicator of sphericity: lower values indicate more spherical forms.</w:t>
      </w:r>
    </w:p>
    <w:bookmarkEnd w:id="35"/>
    <w:bookmarkEnd w:id="36"/>
    <w:bookmarkStart w:id="39"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37"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37"/>
    <w:bookmarkStart w:id="38"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finished in Geomagic Wrap, Rhino8 and R.</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38"/>
    <w:bookmarkEnd w:id="39"/>
    <w:bookmarkStart w:id="42"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0"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0"/>
    <w:bookmarkStart w:id="41"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w:t>
      </w:r>
    </w:p>
    <w:p>
      <w:pPr>
        <w:pStyle w:val="BodyText"/>
      </w:pPr>
      <w:r>
        <w:t xml:space="preserve">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w:t>
      </w:r>
    </w:p>
    <w:p>
      <w:pPr>
        <w:pStyle w:val="BodyText"/>
      </w:pPr>
      <w:r>
        <w:t xml:space="preserve">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 calculation steps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the QSY site were included in the analysis.</w:t>
      </w:r>
    </w:p>
    <w:bookmarkEnd w:id="41"/>
    <w:bookmarkEnd w:id="42"/>
    <w:bookmarkEnd w:id="43"/>
    <w:bookmarkStart w:id="81" w:name="results"/>
    <w:p>
      <w:pPr>
        <w:pStyle w:val="Heading1"/>
      </w:pPr>
      <w:r>
        <w:t xml:space="preserve">Results</w:t>
      </w:r>
    </w:p>
    <w:bookmarkStart w:id="61" w:name="results-of-morphometric-analysis"/>
    <w:p>
      <w:pPr>
        <w:pStyle w:val="Heading2"/>
      </w:pPr>
      <w:r>
        <w:t xml:space="preserve">Results of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4"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613"/>
              <w:gridCol w:w="613"/>
              <w:gridCol w:w="948"/>
              <w:gridCol w:w="948"/>
              <w:gridCol w:w="669"/>
              <w:gridCol w:w="1059"/>
              <w:gridCol w:w="613"/>
              <w:gridCol w:w="725"/>
              <w:gridCol w:w="892"/>
              <w:gridCol w:w="836"/>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right"/>
                    <w:jc w:val="center"/>
                  </w:pPr>
                  <w:r>
                    <w:t xml:space="preserve">Centroid offset</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0.8658388</w:t>
                  </w:r>
                </w:p>
              </w:tc>
              <w:tc>
                <w:tcPr/>
                <w:p>
                  <w:pPr>
                    <w:pStyle w:val="Compact"/>
                    <w:jc w:val="right"/>
                    <w:jc w:val="center"/>
                  </w:pPr>
                  <w:r>
                    <w:t xml:space="preserve">1.020296</w:t>
                  </w:r>
                </w:p>
              </w:tc>
              <w:tc>
                <w:tcPr/>
                <w:p>
                  <w:pPr>
                    <w:pStyle w:val="Compact"/>
                    <w:jc w:val="right"/>
                    <w:jc w:val="center"/>
                  </w:pPr>
                  <w:r>
                    <w:t xml:space="preserve">1.571368</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0.8269944</w:t>
                  </w:r>
                </w:p>
              </w:tc>
              <w:tc>
                <w:tcPr/>
                <w:p>
                  <w:pPr>
                    <w:pStyle w:val="Compact"/>
                    <w:jc w:val="right"/>
                    <w:jc w:val="center"/>
                  </w:pPr>
                  <w:r>
                    <w:t xml:space="preserve">1.042784</w:t>
                  </w:r>
                </w:p>
              </w:tc>
              <w:tc>
                <w:tcPr/>
                <w:p>
                  <w:pPr>
                    <w:pStyle w:val="Compact"/>
                    <w:jc w:val="right"/>
                    <w:jc w:val="center"/>
                  </w:pPr>
                  <w:r>
                    <w:t xml:space="preserve">1.490442</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0.8255318</w:t>
                  </w:r>
                </w:p>
              </w:tc>
              <w:tc>
                <w:tcPr/>
                <w:p>
                  <w:pPr>
                    <w:pStyle w:val="Compact"/>
                    <w:jc w:val="right"/>
                    <w:jc w:val="center"/>
                  </w:pPr>
                  <w:r>
                    <w:t xml:space="preserve">1.079571</w:t>
                  </w:r>
                </w:p>
              </w:tc>
              <w:tc>
                <w:tcPr/>
                <w:p>
                  <w:pPr>
                    <w:pStyle w:val="Compact"/>
                    <w:jc w:val="right"/>
                    <w:jc w:val="center"/>
                  </w:pPr>
                  <w:r>
                    <w:t xml:space="preserve">1.282095</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0.8091313</w:t>
                  </w:r>
                </w:p>
              </w:tc>
              <w:tc>
                <w:tcPr/>
                <w:p>
                  <w:pPr>
                    <w:pStyle w:val="Compact"/>
                    <w:jc w:val="right"/>
                    <w:jc w:val="center"/>
                  </w:pPr>
                  <w:r>
                    <w:t xml:space="preserve">1.049576</w:t>
                  </w:r>
                </w:p>
              </w:tc>
              <w:tc>
                <w:tcPr/>
                <w:p>
                  <w:pPr>
                    <w:pStyle w:val="Compact"/>
                    <w:jc w:val="right"/>
                    <w:jc w:val="center"/>
                  </w:pPr>
                  <w:r>
                    <w:t xml:space="preserve">2.104250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0.7988300</w:t>
                  </w:r>
                </w:p>
              </w:tc>
              <w:tc>
                <w:tcPr/>
                <w:p>
                  <w:pPr>
                    <w:pStyle w:val="Compact"/>
                    <w:jc w:val="right"/>
                    <w:jc w:val="center"/>
                  </w:pPr>
                  <w:r>
                    <w:t xml:space="preserve">1.054399</w:t>
                  </w:r>
                </w:p>
              </w:tc>
              <w:tc>
                <w:tcPr/>
                <w:p>
                  <w:pPr>
                    <w:pStyle w:val="Compact"/>
                    <w:jc w:val="right"/>
                    <w:jc w:val="center"/>
                  </w:pPr>
                  <w:r>
                    <w:t xml:space="preserve">1.161040</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0.8032364</w:t>
                  </w:r>
                </w:p>
              </w:tc>
              <w:tc>
                <w:tcPr/>
                <w:p>
                  <w:pPr>
                    <w:pStyle w:val="Compact"/>
                    <w:jc w:val="right"/>
                    <w:jc w:val="center"/>
                  </w:pPr>
                  <w:r>
                    <w:t xml:space="preserve">1.039023</w:t>
                  </w:r>
                </w:p>
              </w:tc>
              <w:tc>
                <w:tcPr/>
                <w:p>
                  <w:pPr>
                    <w:pStyle w:val="Compact"/>
                    <w:jc w:val="right"/>
                    <w:jc w:val="center"/>
                  </w:pPr>
                  <w:r>
                    <w:t xml:space="preserve">1.285673</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0.9166715</w:t>
                  </w:r>
                </w:p>
              </w:tc>
              <w:tc>
                <w:tcPr/>
                <w:p>
                  <w:pPr>
                    <w:pStyle w:val="Compact"/>
                    <w:jc w:val="right"/>
                    <w:jc w:val="center"/>
                  </w:pPr>
                  <w:r>
                    <w:t xml:space="preserve">1.010390</w:t>
                  </w:r>
                </w:p>
              </w:tc>
              <w:tc>
                <w:tcPr/>
                <w:p>
                  <w:pPr>
                    <w:pStyle w:val="Compact"/>
                    <w:jc w:val="right"/>
                    <w:jc w:val="center"/>
                  </w:pPr>
                  <w:r>
                    <w:t xml:space="preserve">6.530839</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0.8807450</w:t>
                  </w:r>
                </w:p>
              </w:tc>
              <w:tc>
                <w:tcPr/>
                <w:p>
                  <w:pPr>
                    <w:pStyle w:val="Compact"/>
                    <w:jc w:val="right"/>
                    <w:jc w:val="center"/>
                  </w:pPr>
                  <w:r>
                    <w:t xml:space="preserve">1.024810</w:t>
                  </w:r>
                </w:p>
              </w:tc>
              <w:tc>
                <w:tcPr/>
                <w:p>
                  <w:pPr>
                    <w:pStyle w:val="Compact"/>
                    <w:jc w:val="right"/>
                    <w:jc w:val="center"/>
                  </w:pPr>
                  <w:r>
                    <w:t xml:space="preserve">2.363453</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0.8933988</w:t>
                  </w:r>
                </w:p>
              </w:tc>
              <w:tc>
                <w:tcPr/>
                <w:p>
                  <w:pPr>
                    <w:pStyle w:val="Compact"/>
                    <w:jc w:val="right"/>
                    <w:jc w:val="center"/>
                  </w:pPr>
                  <w:r>
                    <w:t xml:space="preserve">1.017122</w:t>
                  </w:r>
                </w:p>
              </w:tc>
              <w:tc>
                <w:tcPr/>
                <w:p>
                  <w:pPr>
                    <w:pStyle w:val="Compact"/>
                    <w:jc w:val="right"/>
                    <w:jc w:val="center"/>
                  </w:pPr>
                  <w:r>
                    <w:t xml:space="preserve">1.039335</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0.8419195</w:t>
                  </w:r>
                </w:p>
              </w:tc>
              <w:tc>
                <w:tcPr/>
                <w:p>
                  <w:pPr>
                    <w:pStyle w:val="Compact"/>
                    <w:jc w:val="right"/>
                    <w:jc w:val="center"/>
                  </w:pPr>
                  <w:r>
                    <w:t xml:space="preserve">1.042415</w:t>
                  </w:r>
                </w:p>
              </w:tc>
              <w:tc>
                <w:tcPr/>
                <w:p>
                  <w:pPr>
                    <w:pStyle w:val="Compact"/>
                    <w:jc w:val="right"/>
                    <w:jc w:val="center"/>
                  </w:pPr>
                  <w:r>
                    <w:t xml:space="preserve">6.912960</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0.8678116</w:t>
                  </w:r>
                </w:p>
              </w:tc>
              <w:tc>
                <w:tcPr/>
                <w:p>
                  <w:pPr>
                    <w:pStyle w:val="Compact"/>
                    <w:jc w:val="right"/>
                    <w:jc w:val="center"/>
                  </w:pPr>
                  <w:r>
                    <w:t xml:space="preserve">1.019932</w:t>
                  </w:r>
                </w:p>
              </w:tc>
              <w:tc>
                <w:tcPr/>
                <w:p>
                  <w:pPr>
                    <w:pStyle w:val="Compact"/>
                    <w:jc w:val="right"/>
                    <w:jc w:val="center"/>
                  </w:pPr>
                  <w:r>
                    <w:t xml:space="preserve">2.539858</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0.8690457</w:t>
                  </w:r>
                </w:p>
              </w:tc>
              <w:tc>
                <w:tcPr/>
                <w:p>
                  <w:pPr>
                    <w:pStyle w:val="Compact"/>
                    <w:jc w:val="right"/>
                    <w:jc w:val="center"/>
                  </w:pPr>
                  <w:r>
                    <w:t xml:space="preserve">1.027144</w:t>
                  </w:r>
                </w:p>
              </w:tc>
              <w:tc>
                <w:tcPr/>
                <w:p>
                  <w:pPr>
                    <w:pStyle w:val="Compact"/>
                    <w:jc w:val="right"/>
                    <w:jc w:val="center"/>
                  </w:pPr>
                  <w:r>
                    <w:t xml:space="preserve">4.001371</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0.9191438</w:t>
                  </w:r>
                </w:p>
              </w:tc>
              <w:tc>
                <w:tcPr/>
                <w:p>
                  <w:pPr>
                    <w:pStyle w:val="Compact"/>
                    <w:jc w:val="right"/>
                    <w:jc w:val="center"/>
                  </w:pPr>
                  <w:r>
                    <w:t xml:space="preserve">1.012857</w:t>
                  </w:r>
                </w:p>
              </w:tc>
              <w:tc>
                <w:tcPr/>
                <w:p>
                  <w:pPr>
                    <w:pStyle w:val="Compact"/>
                    <w:jc w:val="right"/>
                    <w:jc w:val="center"/>
                  </w:pPr>
                  <w:r>
                    <w:t xml:space="preserve">1.016149</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0.8717981</w:t>
                  </w:r>
                </w:p>
              </w:tc>
              <w:tc>
                <w:tcPr/>
                <w:p>
                  <w:pPr>
                    <w:pStyle w:val="Compact"/>
                    <w:jc w:val="right"/>
                    <w:jc w:val="center"/>
                  </w:pPr>
                  <w:r>
                    <w:t xml:space="preserve">1.022741</w:t>
                  </w:r>
                </w:p>
              </w:tc>
              <w:tc>
                <w:tcPr/>
                <w:p>
                  <w:pPr>
                    <w:pStyle w:val="Compact"/>
                    <w:jc w:val="right"/>
                    <w:jc w:val="center"/>
                  </w:pPr>
                  <w:r>
                    <w:t xml:space="preserve">1.109560</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0.8934587</w:t>
                  </w:r>
                </w:p>
              </w:tc>
              <w:tc>
                <w:tcPr/>
                <w:p>
                  <w:pPr>
                    <w:pStyle w:val="Compact"/>
                    <w:jc w:val="right"/>
                    <w:jc w:val="center"/>
                  </w:pPr>
                  <w:r>
                    <w:t xml:space="preserve">1.010859</w:t>
                  </w:r>
                </w:p>
              </w:tc>
              <w:tc>
                <w:tcPr/>
                <w:p>
                  <w:pPr>
                    <w:pStyle w:val="Compact"/>
                    <w:jc w:val="right"/>
                    <w:jc w:val="center"/>
                  </w:pPr>
                  <w:r>
                    <w:t xml:space="preserve">1.957580</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0.9274082</w:t>
                  </w:r>
                </w:p>
              </w:tc>
              <w:tc>
                <w:tcPr/>
                <w:p>
                  <w:pPr>
                    <w:pStyle w:val="Compact"/>
                    <w:jc w:val="right"/>
                    <w:jc w:val="center"/>
                  </w:pPr>
                  <w:r>
                    <w:t xml:space="preserve">1.012530</w:t>
                  </w:r>
                </w:p>
              </w:tc>
              <w:tc>
                <w:tcPr/>
                <w:p>
                  <w:pPr>
                    <w:pStyle w:val="Compact"/>
                    <w:jc w:val="right"/>
                    <w:jc w:val="center"/>
                  </w:pPr>
                  <w:r>
                    <w:t xml:space="preserve">3.038120</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0.8675301</w:t>
                  </w:r>
                </w:p>
              </w:tc>
              <w:tc>
                <w:tcPr/>
                <w:p>
                  <w:pPr>
                    <w:pStyle w:val="Compact"/>
                    <w:jc w:val="right"/>
                    <w:jc w:val="center"/>
                  </w:pPr>
                  <w:r>
                    <w:t xml:space="preserve">1.036793</w:t>
                  </w:r>
                </w:p>
              </w:tc>
              <w:tc>
                <w:tcPr/>
                <w:p>
                  <w:pPr>
                    <w:pStyle w:val="Compact"/>
                    <w:jc w:val="right"/>
                    <w:jc w:val="center"/>
                  </w:pPr>
                  <w:r>
                    <w:t xml:space="preserve">3.550725</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0.8606773</w:t>
                  </w:r>
                </w:p>
              </w:tc>
              <w:tc>
                <w:tcPr/>
                <w:p>
                  <w:pPr>
                    <w:pStyle w:val="Compact"/>
                    <w:jc w:val="right"/>
                    <w:jc w:val="center"/>
                  </w:pPr>
                  <w:r>
                    <w:t xml:space="preserve">1.031251</w:t>
                  </w:r>
                </w:p>
              </w:tc>
              <w:tc>
                <w:tcPr/>
                <w:p>
                  <w:pPr>
                    <w:pStyle w:val="Compact"/>
                    <w:jc w:val="right"/>
                    <w:jc w:val="center"/>
                  </w:pPr>
                  <w:r>
                    <w:t xml:space="preserve">2.519639</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0.7955195</w:t>
                  </w:r>
                </w:p>
              </w:tc>
              <w:tc>
                <w:tcPr/>
                <w:p>
                  <w:pPr>
                    <w:pStyle w:val="Compact"/>
                    <w:jc w:val="right"/>
                    <w:jc w:val="center"/>
                  </w:pPr>
                  <w:r>
                    <w:t xml:space="preserve">1.075345</w:t>
                  </w:r>
                </w:p>
              </w:tc>
              <w:tc>
                <w:tcPr/>
                <w:p>
                  <w:pPr>
                    <w:pStyle w:val="Compact"/>
                    <w:jc w:val="right"/>
                    <w:jc w:val="center"/>
                  </w:pPr>
                  <w:r>
                    <w:t xml:space="preserve">3.171066</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0.8547083</w:t>
                  </w:r>
                </w:p>
              </w:tc>
              <w:tc>
                <w:tcPr/>
                <w:p>
                  <w:pPr>
                    <w:pStyle w:val="Compact"/>
                    <w:jc w:val="right"/>
                    <w:jc w:val="center"/>
                  </w:pPr>
                  <w:r>
                    <w:t xml:space="preserve">1.018949</w:t>
                  </w:r>
                </w:p>
              </w:tc>
              <w:tc>
                <w:tcPr/>
                <w:p>
                  <w:pPr>
                    <w:pStyle w:val="Compact"/>
                    <w:jc w:val="right"/>
                    <w:jc w:val="center"/>
                  </w:pPr>
                  <w:r>
                    <w:t xml:space="preserve">7.942392</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0.8967779</w:t>
                  </w:r>
                </w:p>
              </w:tc>
              <w:tc>
                <w:tcPr/>
                <w:p>
                  <w:pPr>
                    <w:pStyle w:val="Compact"/>
                    <w:jc w:val="right"/>
                    <w:jc w:val="center"/>
                  </w:pPr>
                  <w:r>
                    <w:t xml:space="preserve">1.011231</w:t>
                  </w:r>
                </w:p>
              </w:tc>
              <w:tc>
                <w:tcPr/>
                <w:p>
                  <w:pPr>
                    <w:pStyle w:val="Compact"/>
                    <w:jc w:val="right"/>
                    <w:jc w:val="center"/>
                  </w:pPr>
                  <w:r>
                    <w:t xml:space="preserve">1.435167</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0.9011202</w:t>
                  </w:r>
                </w:p>
              </w:tc>
              <w:tc>
                <w:tcPr/>
                <w:p>
                  <w:pPr>
                    <w:pStyle w:val="Compact"/>
                    <w:jc w:val="right"/>
                    <w:jc w:val="center"/>
                  </w:pPr>
                  <w:r>
                    <w:t xml:space="preserve">1.011462</w:t>
                  </w:r>
                </w:p>
              </w:tc>
              <w:tc>
                <w:tcPr/>
                <w:p>
                  <w:pPr>
                    <w:pStyle w:val="Compact"/>
                    <w:jc w:val="right"/>
                    <w:jc w:val="center"/>
                  </w:pPr>
                  <w:r>
                    <w:t xml:space="preserve">3.964506</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0.8911406</w:t>
                  </w:r>
                </w:p>
              </w:tc>
              <w:tc>
                <w:tcPr/>
                <w:p>
                  <w:pPr>
                    <w:pStyle w:val="Compact"/>
                    <w:jc w:val="right"/>
                    <w:jc w:val="center"/>
                  </w:pPr>
                  <w:r>
                    <w:t xml:space="preserve">1.030040</w:t>
                  </w:r>
                </w:p>
              </w:tc>
              <w:tc>
                <w:tcPr/>
                <w:p>
                  <w:pPr>
                    <w:pStyle w:val="Compact"/>
                    <w:jc w:val="right"/>
                    <w:jc w:val="center"/>
                  </w:pPr>
                  <w:r>
                    <w:t xml:space="preserve">6.442905</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0.8688198</w:t>
                  </w:r>
                </w:p>
              </w:tc>
              <w:tc>
                <w:tcPr/>
                <w:p>
                  <w:pPr>
                    <w:pStyle w:val="Compact"/>
                    <w:jc w:val="right"/>
                    <w:jc w:val="center"/>
                  </w:pPr>
                  <w:r>
                    <w:t xml:space="preserve">1.031176</w:t>
                  </w:r>
                </w:p>
              </w:tc>
              <w:tc>
                <w:tcPr/>
                <w:p>
                  <w:pPr>
                    <w:pStyle w:val="Compact"/>
                    <w:jc w:val="right"/>
                    <w:jc w:val="center"/>
                  </w:pPr>
                  <w:r>
                    <w:t xml:space="preserve">1.426403</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0.8779463</w:t>
                  </w:r>
                </w:p>
              </w:tc>
              <w:tc>
                <w:tcPr/>
                <w:p>
                  <w:pPr>
                    <w:pStyle w:val="Compact"/>
                    <w:jc w:val="right"/>
                    <w:jc w:val="center"/>
                  </w:pPr>
                  <w:r>
                    <w:t xml:space="preserve">1.010787</w:t>
                  </w:r>
                </w:p>
              </w:tc>
              <w:tc>
                <w:tcPr/>
                <w:p>
                  <w:pPr>
                    <w:pStyle w:val="Compact"/>
                    <w:jc w:val="right"/>
                    <w:jc w:val="center"/>
                  </w:pPr>
                  <w:r>
                    <w:t xml:space="preserve">3.005867</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0.8757082</w:t>
                  </w:r>
                </w:p>
              </w:tc>
              <w:tc>
                <w:tcPr/>
                <w:p>
                  <w:pPr>
                    <w:pStyle w:val="Compact"/>
                    <w:jc w:val="right"/>
                    <w:jc w:val="center"/>
                  </w:pPr>
                  <w:r>
                    <w:t xml:space="preserve">1.027697</w:t>
                  </w:r>
                </w:p>
              </w:tc>
              <w:tc>
                <w:tcPr/>
                <w:p>
                  <w:pPr>
                    <w:pStyle w:val="Compact"/>
                    <w:jc w:val="right"/>
                    <w:jc w:val="center"/>
                  </w:pPr>
                  <w:r>
                    <w:t xml:space="preserve">4.231788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0.9021322</w:t>
                  </w:r>
                </w:p>
              </w:tc>
              <w:tc>
                <w:tcPr/>
                <w:p>
                  <w:pPr>
                    <w:pStyle w:val="Compact"/>
                    <w:jc w:val="right"/>
                    <w:jc w:val="center"/>
                  </w:pPr>
                  <w:r>
                    <w:t xml:space="preserve">1.016534</w:t>
                  </w:r>
                </w:p>
              </w:tc>
              <w:tc>
                <w:tcPr/>
                <w:p>
                  <w:pPr>
                    <w:pStyle w:val="Compact"/>
                    <w:jc w:val="right"/>
                    <w:jc w:val="center"/>
                  </w:pPr>
                  <w:r>
                    <w:t xml:space="preserve">4.845816</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0.9272417</w:t>
                  </w:r>
                </w:p>
              </w:tc>
              <w:tc>
                <w:tcPr/>
                <w:p>
                  <w:pPr>
                    <w:pStyle w:val="Compact"/>
                    <w:jc w:val="right"/>
                    <w:jc w:val="center"/>
                  </w:pPr>
                  <w:r>
                    <w:t xml:space="preserve">1.010491</w:t>
                  </w:r>
                </w:p>
              </w:tc>
              <w:tc>
                <w:tcPr/>
                <w:p>
                  <w:pPr>
                    <w:pStyle w:val="Compact"/>
                    <w:jc w:val="right"/>
                    <w:jc w:val="center"/>
                  </w:pPr>
                  <w:r>
                    <w:t xml:space="preserve">1.862968</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0.8203610</w:t>
                  </w:r>
                </w:p>
              </w:tc>
              <w:tc>
                <w:tcPr/>
                <w:p>
                  <w:pPr>
                    <w:pStyle w:val="Compact"/>
                    <w:jc w:val="right"/>
                    <w:jc w:val="center"/>
                  </w:pPr>
                  <w:r>
                    <w:t xml:space="preserve">1.040002</w:t>
                  </w:r>
                </w:p>
              </w:tc>
              <w:tc>
                <w:tcPr/>
                <w:p>
                  <w:pPr>
                    <w:pStyle w:val="Compact"/>
                    <w:jc w:val="right"/>
                    <w:jc w:val="center"/>
                  </w:pPr>
                  <w:r>
                    <w:t xml:space="preserve">1.144922</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0.9045169</w:t>
                  </w:r>
                </w:p>
              </w:tc>
              <w:tc>
                <w:tcPr/>
                <w:p>
                  <w:pPr>
                    <w:pStyle w:val="Compact"/>
                    <w:jc w:val="right"/>
                    <w:jc w:val="center"/>
                  </w:pPr>
                  <w:r>
                    <w:t xml:space="preserve">1.011386</w:t>
                  </w:r>
                </w:p>
              </w:tc>
              <w:tc>
                <w:tcPr/>
                <w:p>
                  <w:pPr>
                    <w:pStyle w:val="Compact"/>
                    <w:jc w:val="right"/>
                    <w:jc w:val="center"/>
                  </w:pPr>
                  <w:r>
                    <w:t xml:space="preserve">3.637126</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0.9067064</w:t>
                  </w:r>
                </w:p>
              </w:tc>
              <w:tc>
                <w:tcPr/>
                <w:p>
                  <w:pPr>
                    <w:pStyle w:val="Compact"/>
                    <w:jc w:val="right"/>
                    <w:jc w:val="center"/>
                  </w:pPr>
                  <w:r>
                    <w:t xml:space="preserve">1.009120</w:t>
                  </w:r>
                </w:p>
              </w:tc>
              <w:tc>
                <w:tcPr/>
                <w:p>
                  <w:pPr>
                    <w:pStyle w:val="Compact"/>
                    <w:jc w:val="right"/>
                    <w:jc w:val="center"/>
                  </w:pPr>
                  <w:r>
                    <w:t xml:space="preserve">5.505126</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0.9376838</w:t>
                  </w:r>
                </w:p>
              </w:tc>
              <w:tc>
                <w:tcPr/>
                <w:p>
                  <w:pPr>
                    <w:pStyle w:val="Compact"/>
                    <w:jc w:val="right"/>
                    <w:jc w:val="center"/>
                  </w:pPr>
                  <w:r>
                    <w:t xml:space="preserve">1.004382</w:t>
                  </w:r>
                </w:p>
              </w:tc>
              <w:tc>
                <w:tcPr/>
                <w:p>
                  <w:pPr>
                    <w:pStyle w:val="Compact"/>
                    <w:jc w:val="right"/>
                    <w:jc w:val="center"/>
                  </w:pPr>
                  <w:r>
                    <w:t xml:space="preserve">2.950471</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0.9151881</w:t>
                  </w:r>
                </w:p>
              </w:tc>
              <w:tc>
                <w:tcPr/>
                <w:p>
                  <w:pPr>
                    <w:pStyle w:val="Compact"/>
                    <w:jc w:val="right"/>
                    <w:jc w:val="center"/>
                  </w:pPr>
                  <w:r>
                    <w:t xml:space="preserve">1.014738</w:t>
                  </w:r>
                </w:p>
              </w:tc>
              <w:tc>
                <w:tcPr/>
                <w:p>
                  <w:pPr>
                    <w:pStyle w:val="Compact"/>
                    <w:jc w:val="right"/>
                    <w:jc w:val="center"/>
                  </w:pPr>
                  <w:r>
                    <w:t xml:space="preserve">3.890027</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0.9021261</w:t>
                  </w:r>
                </w:p>
              </w:tc>
              <w:tc>
                <w:tcPr/>
                <w:p>
                  <w:pPr>
                    <w:pStyle w:val="Compact"/>
                    <w:jc w:val="right"/>
                    <w:jc w:val="center"/>
                  </w:pPr>
                  <w:r>
                    <w:t xml:space="preserve">1.020418</w:t>
                  </w:r>
                </w:p>
              </w:tc>
              <w:tc>
                <w:tcPr/>
                <w:p>
                  <w:pPr>
                    <w:pStyle w:val="Compact"/>
                    <w:jc w:val="right"/>
                    <w:jc w:val="center"/>
                  </w:pPr>
                  <w:r>
                    <w:t xml:space="preserve">2.564553</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0.8791311</w:t>
                  </w:r>
                </w:p>
              </w:tc>
              <w:tc>
                <w:tcPr/>
                <w:p>
                  <w:pPr>
                    <w:pStyle w:val="Compact"/>
                    <w:jc w:val="right"/>
                    <w:jc w:val="center"/>
                  </w:pPr>
                  <w:r>
                    <w:t xml:space="preserve">1.018891</w:t>
                  </w:r>
                </w:p>
              </w:tc>
              <w:tc>
                <w:tcPr/>
                <w:p>
                  <w:pPr>
                    <w:pStyle w:val="Compact"/>
                    <w:jc w:val="right"/>
                    <w:jc w:val="center"/>
                  </w:pPr>
                  <w:r>
                    <w:t xml:space="preserve">1.867975</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0.8858050</w:t>
                  </w:r>
                </w:p>
              </w:tc>
              <w:tc>
                <w:tcPr/>
                <w:p>
                  <w:pPr>
                    <w:pStyle w:val="Compact"/>
                    <w:jc w:val="right"/>
                    <w:jc w:val="center"/>
                  </w:pPr>
                  <w:r>
                    <w:t xml:space="preserve">1.024280</w:t>
                  </w:r>
                </w:p>
              </w:tc>
              <w:tc>
                <w:tcPr/>
                <w:p>
                  <w:pPr>
                    <w:pStyle w:val="Compact"/>
                    <w:jc w:val="right"/>
                    <w:jc w:val="center"/>
                  </w:pPr>
                  <w:r>
                    <w:t xml:space="preserve">4.030924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0.8631108</w:t>
                  </w:r>
                </w:p>
              </w:tc>
              <w:tc>
                <w:tcPr/>
                <w:p>
                  <w:pPr>
                    <w:pStyle w:val="Compact"/>
                    <w:jc w:val="right"/>
                    <w:jc w:val="center"/>
                  </w:pPr>
                  <w:r>
                    <w:t xml:space="preserve">1.024487</w:t>
                  </w:r>
                </w:p>
              </w:tc>
              <w:tc>
                <w:tcPr/>
                <w:p>
                  <w:pPr>
                    <w:pStyle w:val="Compact"/>
                    <w:jc w:val="right"/>
                    <w:jc w:val="center"/>
                  </w:pPr>
                  <w:r>
                    <w:t xml:space="preserve">4.939933</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0.8992439</w:t>
                  </w:r>
                </w:p>
              </w:tc>
              <w:tc>
                <w:tcPr/>
                <w:p>
                  <w:pPr>
                    <w:pStyle w:val="Compact"/>
                    <w:jc w:val="right"/>
                    <w:jc w:val="center"/>
                  </w:pPr>
                  <w:r>
                    <w:t xml:space="preserve">1.023644</w:t>
                  </w:r>
                </w:p>
              </w:tc>
              <w:tc>
                <w:tcPr/>
                <w:p>
                  <w:pPr>
                    <w:pStyle w:val="Compact"/>
                    <w:jc w:val="right"/>
                    <w:jc w:val="center"/>
                  </w:pPr>
                  <w:r>
                    <w:t xml:space="preserve">3.083931</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0.8688678</w:t>
                  </w:r>
                </w:p>
              </w:tc>
              <w:tc>
                <w:tcPr/>
                <w:p>
                  <w:pPr>
                    <w:pStyle w:val="Compact"/>
                    <w:jc w:val="right"/>
                    <w:jc w:val="center"/>
                  </w:pPr>
                  <w:r>
                    <w:t xml:space="preserve">1.026525</w:t>
                  </w:r>
                </w:p>
              </w:tc>
              <w:tc>
                <w:tcPr/>
                <w:p>
                  <w:pPr>
                    <w:pStyle w:val="Compact"/>
                    <w:jc w:val="right"/>
                    <w:jc w:val="center"/>
                  </w:pPr>
                  <w:r>
                    <w:t xml:space="preserve">2.674256</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0.9045078</w:t>
                  </w:r>
                </w:p>
              </w:tc>
              <w:tc>
                <w:tcPr/>
                <w:p>
                  <w:pPr>
                    <w:pStyle w:val="Compact"/>
                    <w:jc w:val="right"/>
                    <w:jc w:val="center"/>
                  </w:pPr>
                  <w:r>
                    <w:t xml:space="preserve">1.016141</w:t>
                  </w:r>
                </w:p>
              </w:tc>
              <w:tc>
                <w:tcPr/>
                <w:p>
                  <w:pPr>
                    <w:pStyle w:val="Compact"/>
                    <w:jc w:val="right"/>
                    <w:jc w:val="center"/>
                  </w:pPr>
                  <w:r>
                    <w:t xml:space="preserve">2.324629</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0.8589857</w:t>
                  </w:r>
                </w:p>
              </w:tc>
              <w:tc>
                <w:tcPr/>
                <w:p>
                  <w:pPr>
                    <w:pStyle w:val="Compact"/>
                    <w:jc w:val="right"/>
                    <w:jc w:val="center"/>
                  </w:pPr>
                  <w:r>
                    <w:t xml:space="preserve">1.052747</w:t>
                  </w:r>
                </w:p>
              </w:tc>
              <w:tc>
                <w:tcPr/>
                <w:p>
                  <w:pPr>
                    <w:pStyle w:val="Compact"/>
                    <w:jc w:val="right"/>
                    <w:jc w:val="center"/>
                  </w:pPr>
                  <w:r>
                    <w:t xml:space="preserve">1.606183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0.8578307</w:t>
                  </w:r>
                </w:p>
              </w:tc>
              <w:tc>
                <w:tcPr/>
                <w:p>
                  <w:pPr>
                    <w:pStyle w:val="Compact"/>
                    <w:jc w:val="right"/>
                    <w:jc w:val="center"/>
                  </w:pPr>
                  <w:r>
                    <w:t xml:space="preserve">1.020420</w:t>
                  </w:r>
                </w:p>
              </w:tc>
              <w:tc>
                <w:tcPr/>
                <w:p>
                  <w:pPr>
                    <w:pStyle w:val="Compact"/>
                    <w:jc w:val="right"/>
                    <w:jc w:val="center"/>
                  </w:pPr>
                  <w:r>
                    <w:t xml:space="preserve">2.279425</w:t>
                  </w:r>
                </w:p>
              </w:tc>
              <w:tc>
                <w:tcPr/>
                <w:p>
                  <w:pPr>
                    <w:pStyle w:val="Compact"/>
                    <w:jc w:val="left"/>
                    <w:jc w:val="center"/>
                  </w:pPr>
                  <w:r>
                    <w:t xml:space="preserve">Y</w:t>
                  </w:r>
                </w:p>
              </w:tc>
            </w:tr>
          </w:tbl>
          <w:bookmarkEnd w:id="44"/>
          <w:p/>
        </w:tc>
      </w:tr>
    </w:tbl>
    <w:tbl>
      <w:tblPr>
        <w:tblStyle w:val="Table"/>
        <w:tblW w:type="pct" w:w="5000"/>
        <w:tblLook w:firstRow="0" w:lastRow="0" w:firstColumn="0" w:lastColumn="0" w:noHBand="0" w:noVBand="0" w:val="0000"/>
        <w:jc w:val="start"/>
        <w:tblLayout w:type="fixed"/>
      </w:tblPr>
      <w:tblGrid>
        <w:gridCol w:w="7920"/>
      </w:tblGrid>
      <w:tr>
        <w:tc>
          <w:tcPr/>
          <w:bookmarkStart w:id="48" w:name="fig-SPHARM-Reconstruction-by-Degree"/>
          <w:p>
            <w:pPr>
              <w:pStyle w:val="Compact"/>
              <w:jc w:val="center"/>
            </w:pPr>
            <w:r>
              <w:drawing>
                <wp:inline>
                  <wp:extent cx="5943600" cy="3962865"/>
                  <wp:effectExtent b="0" l="0" r="0" t="0"/>
                  <wp:docPr descr="" title="" id="46" name="Picture"/>
                  <a:graphic>
                    <a:graphicData uri="http://schemas.openxmlformats.org/drawingml/2006/picture">
                      <pic:pic>
                        <pic:nvPicPr>
                          <pic:cNvPr descr="figures/SPHARM_reconstruction.png" id="47" name="Picture"/>
                          <pic:cNvPicPr>
                            <a:picLocks noChangeArrowheads="1" noChangeAspect="1"/>
                          </pic:cNvPicPr>
                        </pic:nvPicPr>
                        <pic:blipFill>
                          <a:blip r:embed="rId4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Shape reconstruction of archaeological spheroids using SPHARM (various lmax levels)</w:t>
            </w:r>
          </w:p>
          <w:bookmarkEnd w:id="48"/>
        </w:tc>
      </w:tr>
    </w:tbl>
    <w:tbl>
      <w:tblPr>
        <w:tblStyle w:val="Table"/>
        <w:tblW w:type="pct" w:w="5000"/>
        <w:tblLook w:firstRow="0" w:lastRow="0" w:firstColumn="0" w:lastColumn="0" w:noHBand="0" w:noVBand="0" w:val="0000"/>
        <w:jc w:val="start"/>
        <w:tblLayout w:type="fixed"/>
      </w:tblPr>
      <w:tblGrid>
        <w:gridCol w:w="7920"/>
      </w:tblGrid>
      <w:tr>
        <w:tc>
          <w:tcPr/>
          <w:bookmarkStart w:id="52" w:name="fig-UMAP-SPHARM-clusters"/>
          <w:p>
            <w:pPr>
              <w:pStyle w:val="Compact"/>
              <w:jc w:val="center"/>
            </w:pPr>
            <w:r>
              <w:drawing>
                <wp:inline>
                  <wp:extent cx="5943600" cy="3465236"/>
                  <wp:effectExtent b="0" l="0" r="0" t="0"/>
                  <wp:docPr descr="" title="" id="50" name="Picture"/>
                  <a:graphic>
                    <a:graphicData uri="http://schemas.openxmlformats.org/drawingml/2006/picture">
                      <pic:pic>
                        <pic:nvPicPr>
                          <pic:cNvPr descr="figures/UMAP_SPHARM_clusters.png" id="51" name="Picture"/>
                          <pic:cNvPicPr>
                            <a:picLocks noChangeArrowheads="1" noChangeAspect="1"/>
                          </pic:cNvPicPr>
                        </pic:nvPicPr>
                        <pic:blipFill>
                          <a:blip r:embed="rId49"/>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UMAP plot showing distinct clusters of shapes derived from SPHARM</w:t>
            </w:r>
          </w:p>
          <w:bookmarkEnd w:id="52"/>
        </w:tc>
      </w:tr>
    </w:tbl>
    <w:tbl>
      <w:tblPr>
        <w:tblStyle w:val="Table"/>
        <w:tblW w:type="pct" w:w="5000"/>
        <w:tblLook w:firstRow="0" w:lastRow="0" w:firstColumn="0" w:lastColumn="0" w:noHBand="0" w:noVBand="0" w:val="0000"/>
        <w:jc w:val="start"/>
        <w:tblLayout w:type="fixed"/>
      </w:tblPr>
      <w:tblGrid>
        <w:gridCol w:w="7920"/>
      </w:tblGrid>
      <w:tr>
        <w:tc>
          <w:tcPr/>
          <w:bookmarkStart w:id="56" w:name="fig-UMAP-SPHARM-samples"/>
          <w:p>
            <w:pPr>
              <w:pStyle w:val="Compact"/>
              <w:jc w:val="center"/>
            </w:pPr>
            <w:r>
              <w:drawing>
                <wp:inline>
                  <wp:extent cx="5943600" cy="3465236"/>
                  <wp:effectExtent b="0" l="0" r="0" t="0"/>
                  <wp:docPr descr="" title="" id="54" name="Picture"/>
                  <a:graphic>
                    <a:graphicData uri="http://schemas.openxmlformats.org/drawingml/2006/picture">
                      <pic:pic>
                        <pic:nvPicPr>
                          <pic:cNvPr descr="figures/UMAP_SPHARM_samples.png" id="55" name="Picture"/>
                          <pic:cNvPicPr>
                            <a:picLocks noChangeArrowheads="1" noChangeAspect="1"/>
                          </pic:cNvPicPr>
                        </pic:nvPicPr>
                        <pic:blipFill>
                          <a:blip r:embed="rId53"/>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UMAP plot of SPHARM-derived shape features colored by types</w:t>
            </w:r>
          </w:p>
          <w:bookmarkEnd w:id="56"/>
        </w:tc>
      </w:tr>
    </w:tbl>
    <w:tbl>
      <w:tblPr>
        <w:tblStyle w:val="Table"/>
        <w:tblW w:type="pct" w:w="5000"/>
        <w:tblLook w:firstRow="0" w:lastRow="0" w:firstColumn="0" w:lastColumn="0" w:noHBand="0" w:noVBand="0" w:val="0000"/>
        <w:jc w:val="start"/>
        <w:tblLayout w:type="fixed"/>
      </w:tblPr>
      <w:tblGrid>
        <w:gridCol w:w="7920"/>
      </w:tblGrid>
      <w:tr>
        <w:tc>
          <w:tcPr/>
          <w:bookmarkStart w:id="60" w:name="fig-Correlation-SPHARMpower-Sphericity"/>
          <w:p>
            <w:pPr>
              <w:pStyle w:val="Compact"/>
              <w:jc w:val="center"/>
            </w:pPr>
            <w:r>
              <w:drawing>
                <wp:inline>
                  <wp:extent cx="5943600" cy="3962865"/>
                  <wp:effectExtent b="0" l="0" r="0" t="0"/>
                  <wp:docPr descr="" title="" id="58" name="Picture"/>
                  <a:graphic>
                    <a:graphicData uri="http://schemas.openxmlformats.org/drawingml/2006/picture">
                      <pic:pic>
                        <pic:nvPicPr>
                          <pic:cNvPr descr="figures/Correlation_SPHARMpower_Sphericity.png" id="59" name="Picture"/>
                          <pic:cNvPicPr>
                            <a:picLocks noChangeArrowheads="1" noChangeAspect="1"/>
                          </pic:cNvPicPr>
                        </pic:nvPicPr>
                        <pic:blipFill>
                          <a:blip r:embed="rId57"/>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analysis between SPHARMpower and Sphericity</w:t>
            </w:r>
          </w:p>
          <w:bookmarkEnd w:id="60"/>
        </w:tc>
      </w:tr>
    </w:tbl>
    <w:p>
      <w:pPr>
        <w:pStyle w:val="BodyText"/>
      </w:pPr>
      <w:r>
        <w:t xml:space="preserve">We applied spherical sphericity index, harmonics analysis, and centroid offset measurements to both the spheroids (n = 42) and all other multifacial and polyhedron cores (n = 29) in the assemblage of QSY.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1</w:t>
        </w:r>
      </w:hyperlink>
      <w:r>
        <w:t xml:space="preserve">.</w:t>
      </w:r>
    </w:p>
    <w:p>
      <w:pPr>
        <w:pStyle w:val="BodyText"/>
      </w:pPr>
      <w:r>
        <w:t xml:space="preserve">Sphericity analysis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w:t>
      </w:r>
    </w:p>
    <w:p>
      <w:pPr>
        <w:pStyle w:val="BodyText"/>
      </w:pPr>
      <w:r>
        <w:t xml:space="preserve">We conducted shape analysis based on spherical harmonic decomposition, setting the maximum degree to 20 (lmax=20,</w:t>
      </w:r>
      <w:hyperlink w:anchor="fig-SPHARM-Reconstruction-by-Degree">
        <w:r>
          <w:rPr>
            <w:rStyle w:val="Hyperlink"/>
          </w:rPr>
          <w:t xml:space="preserve">Figure 3</w:t>
        </w:r>
      </w:hyperlink>
      <w:r>
        <w:t xml:space="preserve">). This choice ensures that sufficient geometric detail is captured while avoiding high-frequency noise and overfitting artifacts such as the Gibbs phenomenon. After normalization, all models have their degree 0 (l=0) coefficient set to 1, allowing for meaningful comparison across different models.</w:t>
      </w:r>
    </w:p>
    <w:p>
      <w:pPr>
        <w:pStyle w:val="BodyText"/>
      </w:pPr>
      <w:r>
        <w:t xml:space="preserve">A Variance Analysis was performed on the power of each harmonic degree. The results indicate that l= 2 and l=3 exhibit the highest variance across the sample, suggesting that these low-order terms capture the most significant shape variation. Specifically, l=2 reflects global asymmetries—such as elongation or flattening—while degree 3 is more sensitive to localized features like curvature and edge protrusions.</w:t>
      </w:r>
    </w:p>
    <w:p>
      <w:pPr>
        <w:pStyle w:val="BodyText"/>
      </w:pPr>
      <w:r>
        <w:t xml:space="preserve">To visualize the structure of shape variation, we applied UMAP to the normalized power spectrum. The UMAP projection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4</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5</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We then tested whether the UMAP-based groupings also correspond to differences in sphericity using a Kruskal–Wallis test, which yielded</w:t>
      </w:r>
      <w:r>
        <w:t xml:space="preserve">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 (</w:t>
      </w:r>
      <w:hyperlink w:anchor="fig-Correlation-SPHARMpower-Sphericity">
        <w:r>
          <w:rPr>
            <w:rStyle w:val="Hyperlink"/>
          </w:rPr>
          <w:t xml:space="preserve">Figure 6</w:t>
        </w:r>
      </w:hyperlink>
      <w:r>
        <w:t xml:space="preserve">).</w:t>
      </w:r>
    </w:p>
    <w:p>
      <w:pPr>
        <w:pStyle w:val="BodyText"/>
      </w:pPr>
      <w:r>
        <w:t xml:space="preserve">The spherical harmonic energy (SHE), a novel metric introduced herein,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in QSY.</w:t>
      </w:r>
    </w:p>
    <w:p>
      <w:pPr>
        <w:pStyle w:val="BodyText"/>
      </w:pPr>
      <w:r>
        <w:t xml:space="preserve">The pursuit of a standardized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61"/>
    <w:bookmarkStart w:id="74" w:name="results-of-technological-analysis"/>
    <w:p>
      <w:pPr>
        <w:pStyle w:val="Heading2"/>
      </w:pPr>
      <w:r>
        <w:t xml:space="preserve">Results of technological analysis</w:t>
      </w:r>
    </w:p>
    <w:p>
      <w:pPr>
        <w:pStyle w:val="FirstParagraph"/>
      </w:pPr>
      <w:r>
        <w:t xml:space="preserve">The diacritical analysis of spheroid surfaces reveals a structured and recurrent reduction sequence comprising the following phases (</w:t>
      </w:r>
      <w:hyperlink w:anchor="fig-spheroids-2797-1098">
        <w:r>
          <w:rPr>
            <w:rStyle w:val="Hyperlink"/>
          </w:rPr>
          <w:t xml:space="preserve">Figure 8</w:t>
        </w:r>
      </w:hyperlink>
      <w:r>
        <w:t xml:space="preserve">). Phase 1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2 was peripheral centripetal exploitation. In this phase, previous removals in phase 1 serve as platforms for centripetal flaking around the core periphery. This represents a surface exploitation strategy. A notable feature is the angle between the face’s ventral surface and platform (i.e. core edge angle), which often exceeds 90°, forming a secant plan [citation] rather than parallel plan. This phase contributes significantly to the increasingly spherical shape of the artefact. Phase 3 was the production of small scars on ridges or intersections of previous flake scars, resulting in a rounding and smoother surface, further enhancing sphericality. It is important to note that due to the high degree of reduction intensity observed in most spheroids, phases prior to the visible sequence were often obliterated. We hypothesize the existence of a Phase 0, potentially involving roughing-out of the cobble or an earlier cycle of Phases 1–3.</w:t>
      </w:r>
    </w:p>
    <w:p>
      <w:pPr>
        <w:pStyle w:val="BodyText"/>
      </w:pPr>
      <w:r>
        <w:t xml:space="preserve">Scar orientation analysis further supports the interpretation of a systematic reduction sequence in the production of QSY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0.403 to 0.637 and isotropy ratios from 0.164 to 0.497. These elongation ratios suggest that the spheroids underwent unidirectional or bidirectional total exploitation, typical of Phase 1, resulting in relatively high elongation values. In addition, the peripheral centripetal exploitation, namely Phase 2,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and reflect a SSDA.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QSY, where they used to be considered as a continuous reduction process: polyhedrons represent exhausted cores, whereas spheroids reflect the presence of a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65" w:name="fig-benn-ternary-plot"/>
          <w:p>
            <w:pPr>
              <w:pStyle w:val="Compact"/>
              <w:jc w:val="center"/>
            </w:pPr>
            <w:r>
              <w:drawing>
                <wp:inline>
                  <wp:extent cx="5943600" cy="4754880"/>
                  <wp:effectExtent b="0" l="0" r="0" t="0"/>
                  <wp:docPr descr="" title="" id="63" name="Picture"/>
                  <a:graphic>
                    <a:graphicData uri="http://schemas.openxmlformats.org/drawingml/2006/picture">
                      <pic:pic>
                        <pic:nvPicPr>
                          <pic:cNvPr descr="paper_files/figure-docx/fig-benn-ternary-plot-1.png" id="64" name="Picture"/>
                          <pic:cNvPicPr>
                            <a:picLocks noChangeArrowheads="1" noChangeAspect="1"/>
                          </pic:cNvPicPr>
                        </pic:nvPicPr>
                        <pic:blipFill>
                          <a:blip r:embed="rId6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5"/>
        </w:tc>
      </w:tr>
    </w:tbl>
    <w:tbl>
      <w:tblPr>
        <w:tblStyle w:val="Table"/>
        <w:tblW w:type="pct" w:w="5000"/>
        <w:tblLook w:firstRow="0" w:lastRow="0" w:firstColumn="0" w:lastColumn="0" w:noHBand="0" w:noVBand="0" w:val="0000"/>
        <w:jc w:val="start"/>
        <w:tblLayout w:type="fixed"/>
      </w:tblPr>
      <w:tblGrid>
        <w:gridCol w:w="7920"/>
      </w:tblGrid>
      <w:tr>
        <w:tc>
          <w:tcPr/>
          <w:bookmarkStart w:id="69" w:name="fig-spheroids-2797-1098"/>
          <w:p>
            <w:pPr>
              <w:pStyle w:val="Compact"/>
              <w:jc w:val="center"/>
            </w:pPr>
            <w:r>
              <w:drawing>
                <wp:inline>
                  <wp:extent cx="5943600" cy="3962865"/>
                  <wp:effectExtent b="0" l="0" r="0" t="0"/>
                  <wp:docPr descr="" title="" id="67" name="Picture"/>
                  <a:graphic>
                    <a:graphicData uri="http://schemas.openxmlformats.org/drawingml/2006/picture">
                      <pic:pic>
                        <pic:nvPicPr>
                          <pic:cNvPr descr="figures/spheroids_2797_1098.png" id="68" name="Picture"/>
                          <pic:cNvPicPr>
                            <a:picLocks noChangeArrowheads="1" noChangeAspect="1"/>
                          </pic:cNvPicPr>
                        </pic:nvPicPr>
                        <pic:blipFill>
                          <a:blip r:embed="rId66"/>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QSY spheroids</w:t>
            </w:r>
          </w:p>
          <w:bookmarkEnd w:id="69"/>
        </w:tc>
      </w:tr>
    </w:tbl>
    <w:tbl>
      <w:tblPr>
        <w:tblStyle w:val="Table"/>
        <w:tblW w:type="pct" w:w="5000"/>
        <w:tblLook w:firstRow="0" w:lastRow="0" w:firstColumn="0" w:lastColumn="0" w:noHBand="0" w:noVBand="0" w:val="0000"/>
        <w:jc w:val="start"/>
        <w:tblLayout w:type="fixed"/>
      </w:tblPr>
      <w:tblGrid>
        <w:gridCol w:w="7920"/>
      </w:tblGrid>
      <w:tr>
        <w:tc>
          <w:tcPr/>
          <w:bookmarkStart w:id="73" w:name="fig-shaping-process"/>
          <w:p>
            <w:pPr>
              <w:pStyle w:val="Compact"/>
              <w:jc w:val="center"/>
            </w:pPr>
            <w:r>
              <w:drawing>
                <wp:inline>
                  <wp:extent cx="5943600" cy="2994165"/>
                  <wp:effectExtent b="0" l="0" r="0" t="0"/>
                  <wp:docPr descr="" title="" id="71" name="Picture"/>
                  <a:graphic>
                    <a:graphicData uri="http://schemas.openxmlformats.org/drawingml/2006/picture">
                      <pic:pic>
                        <pic:nvPicPr>
                          <pic:cNvPr descr="figures/shaping_process.png" id="72" name="Picture"/>
                          <pic:cNvPicPr>
                            <a:picLocks noChangeArrowheads="1" noChangeAspect="1"/>
                          </pic:cNvPicPr>
                        </pic:nvPicPr>
                        <pic:blipFill>
                          <a:blip r:embed="rId70"/>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hypothesis of QSY spheroid shaping process</w:t>
            </w:r>
          </w:p>
          <w:bookmarkEnd w:id="73"/>
        </w:tc>
      </w:tr>
    </w:tbl>
    <w:bookmarkEnd w:id="74"/>
    <w:bookmarkStart w:id="80" w:name="efficiency-of-shaping-strategy-1"/>
    <w:p>
      <w:pPr>
        <w:pStyle w:val="Heading2"/>
      </w:pPr>
      <w:r>
        <w:t xml:space="preserve">Efficiency of shaping strategy</w:t>
      </w:r>
    </w:p>
    <w:tbl>
      <w:tblPr>
        <w:tblStyle w:val="Table"/>
        <w:tblW w:type="pct" w:w="5000"/>
        <w:tblLook w:firstRow="0" w:lastRow="0" w:firstColumn="0" w:lastColumn="0" w:noHBand="0" w:noVBand="0" w:val="0000"/>
        <w:jc w:val="start"/>
        <w:tblLayout w:type="fixed"/>
      </w:tblPr>
      <w:tblGrid>
        <w:gridCol w:w="7920"/>
      </w:tblGrid>
      <w:tr>
        <w:tc>
          <w:tcPr/>
          <w:bookmarkStart w:id="75" w:name="tbl-2"/>
          <w:p>
            <w:pPr>
              <w:jc w:val="center"/>
            </w:pPr>
            <w:pPr>
              <w:jc w:val="start"/>
              <w:spacing w:before="200"/>
              <w:pStyle w:val="ImageCaption"/>
            </w:pPr>
            <w:r>
              <w:t xml:space="preserve">Table 2: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5"/>
          <w:p/>
        </w:tc>
      </w:tr>
    </w:tbl>
    <w:tbl>
      <w:tblPr>
        <w:tblStyle w:val="Table"/>
        <w:tblW w:type="pct" w:w="5000"/>
        <w:tblLook w:firstRow="0" w:lastRow="0" w:firstColumn="0" w:lastColumn="0" w:noHBand="0" w:noVBand="0" w:val="0000"/>
        <w:jc w:val="start"/>
        <w:tblLayout w:type="fixed"/>
      </w:tblPr>
      <w:tblGrid>
        <w:gridCol w:w="7920"/>
      </w:tblGrid>
      <w:tr>
        <w:tc>
          <w:tcPr/>
          <w:bookmarkStart w:id="79" w:name="fig-spearman-correlation-matrix"/>
          <w:p>
            <w:pPr>
              <w:pStyle w:val="Compact"/>
              <w:jc w:val="center"/>
            </w:pPr>
            <w:r>
              <w:drawing>
                <wp:inline>
                  <wp:extent cx="5943600" cy="4754880"/>
                  <wp:effectExtent b="0" l="0" r="0" t="0"/>
                  <wp:docPr descr="" title="" id="77" name="Picture"/>
                  <a:graphic>
                    <a:graphicData uri="http://schemas.openxmlformats.org/drawingml/2006/picture">
                      <pic:pic>
                        <pic:nvPicPr>
                          <pic:cNvPr descr="paper_files/figure-docx/fig-spearman-correlation-matrix-1.png" id="78" name="Picture"/>
                          <pic:cNvPicPr>
                            <a:picLocks noChangeArrowheads="1" noChangeAspect="1"/>
                          </pic:cNvPicPr>
                        </pic:nvPicPr>
                        <pic:blipFill>
                          <a:blip r:embed="rId7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9"/>
        </w:tc>
      </w:tr>
    </w:tbl>
    <w:p>
      <w:pPr>
        <w:pStyle w:val="BodyText"/>
      </w:pP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0"/>
    <w:bookmarkEnd w:id="81"/>
    <w:bookmarkStart w:id="89" w:name="discussion"/>
    <w:p>
      <w:pPr>
        <w:pStyle w:val="Heading1"/>
      </w:pPr>
      <w:r>
        <w:t xml:space="preserve">Discussion</w:t>
      </w:r>
    </w:p>
    <w:bookmarkStart w:id="82" w:name="X535945406168847b6ca37c4e823391312522fca"/>
    <w:p>
      <w:pPr>
        <w:pStyle w:val="Heading2"/>
      </w:pPr>
      <w:r>
        <w:t xml:space="preserve">Do Qianshangying Spheroids represent of a Shaping Strategy?</w:t>
      </w:r>
    </w:p>
    <w:p>
      <w:pPr>
        <w:pStyle w:val="FirstParagraph"/>
      </w:pPr>
      <w:r>
        <w:t xml:space="preserve">According to the results of morphological and technological analysis, we can summarize the technical strategy employed in the production of faceted spheroids in QSY.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in QSY display considerable size variation, the finished spheroids, although two of them are relatively large or small, mostly cluster around a diameter of 6–9 cm (</w:t>
      </w:r>
      <w:hyperlink w:anchor="fig-core-spheroid-size">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QSY hominin deliberately employed a standardized production approach to create spheroids with consistent and formalized shapes. The technological strategy reflected in the QSY facted spheroids includes the use of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QSY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p>
    <w:p>
      <w:pPr>
        <w:pStyle w:val="BodyText"/>
      </w:pPr>
      <w:r>
        <w:t xml:space="preserve">These findings also contribute to the long-standing debate over the nature of spheroids—whether they should be interpreted as byproducts of flake production (exhausted cores), or as targeted end products of shaping strategies. In the case of QSY facted spheroids, the evidence strongly supports the latter. Faceted spheroids recovered from other Early Pleistocene sites in anBarranco Leo ́nd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ridges—features that suggest they may be better classified as bolas within a typological framework</w:t>
      </w:r>
      <w:r>
        <w:t xml:space="preserve"> </w:t>
      </w:r>
      <w:r>
        <w:t xml:space="preserve">(Leakey, 1971)</w:t>
      </w:r>
      <w:r>
        <w:t xml:space="preserve">.</w:t>
      </w:r>
    </w:p>
    <w:p>
      <w:pPr>
        <w:pStyle w:val="BodyText"/>
      </w:pPr>
      <w:r>
        <w:t xml:space="preserve">Another issue we aim to address is the relationship between polyhedrons, spheroids, and bolas. While no bolas were identified at the QSY site, our quantitative analyses clearly differentiate polyhedrons from spheroids. These two artifact types differ in size, morphology, and production sequence. Polyhedrons at QSY represent heavily reduced cores, whose edge angle increase results from extensive flake removal. Their primary purpose lies in producing flake, placing them within a flaking strategy. In contrast, spheroids were intentionally shaped as end products, reflecting a shaping strategy. These two technological approaches of flaking and shaping strategies coexisted at QSY,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QSY appear to have undergone another form of typological transformation—from hammerstones to spheroids. one specimen initially served as percussive tools but were later subjected to flake removal, suggesting a shift in function from battering to shaping.</w:t>
      </w:r>
    </w:p>
    <w:bookmarkEnd w:id="82"/>
    <w:bookmarkStart w:id="88" w:name="X0c193ea7a3881b9ede57584121a5d7835b94329"/>
    <w:p>
      <w:pPr>
        <w:pStyle w:val="Heading2"/>
      </w:pPr>
      <w:r>
        <w:t xml:space="preserve">The Technological and Typological Variability of Spheroids in China</w:t>
      </w:r>
    </w:p>
    <w:tbl>
      <w:tblPr>
        <w:tblStyle w:val="Table"/>
        <w:tblW w:type="pct" w:w="5000"/>
        <w:tblLook w:firstRow="0" w:lastRow="0" w:firstColumn="0" w:lastColumn="0" w:noHBand="0" w:noVBand="0" w:val="0000"/>
        <w:jc w:val="start"/>
        <w:tblLayout w:type="fixed"/>
      </w:tblPr>
      <w:tblGrid>
        <w:gridCol w:w="7920"/>
      </w:tblGrid>
      <w:tr>
        <w:tc>
          <w:tcPr/>
          <w:bookmarkStart w:id="83" w:name="tbl-3"/>
          <w:p>
            <w:pPr>
              <w:jc w:val="center"/>
            </w:pPr>
            <w:pPr>
              <w:jc w:val="start"/>
              <w:spacing w:before="200"/>
              <w:pStyle w:val="ImageCaption"/>
            </w:pPr>
            <w:r>
              <w:t xml:space="preserve">Table 3: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83"/>
          <w:p/>
        </w:tc>
      </w:tr>
    </w:tbl>
    <w:p>
      <w:pPr>
        <w:pStyle w:val="BodyText"/>
      </w:pPr>
      <w:r>
        <w:t xml:space="preserve">site data: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tbl>
      <w:tblPr>
        <w:tblStyle w:val="Table"/>
        <w:tblW w:type="pct" w:w="5000"/>
        <w:tblLook w:firstRow="0" w:lastRow="0" w:firstColumn="0" w:lastColumn="0" w:noHBand="0" w:noVBand="0" w:val="0000"/>
        <w:jc w:val="start"/>
        <w:tblLayout w:type="fixed"/>
      </w:tblPr>
      <w:tblGrid>
        <w:gridCol w:w="7920"/>
      </w:tblGrid>
      <w:tr>
        <w:tc>
          <w:tcPr/>
          <w:bookmarkStart w:id="87" w:name="fig-Spheroids_distribution_China"/>
          <w:p>
            <w:pPr>
              <w:pStyle w:val="Compact"/>
              <w:jc w:val="center"/>
            </w:pPr>
            <w:r>
              <w:drawing>
                <wp:inline>
                  <wp:extent cx="5943600" cy="3405205"/>
                  <wp:effectExtent b="0" l="0" r="0" t="0"/>
                  <wp:docPr descr="" title="" id="85" name="Picture"/>
                  <a:graphic>
                    <a:graphicData uri="http://schemas.openxmlformats.org/drawingml/2006/picture">
                      <pic:pic>
                        <pic:nvPicPr>
                          <pic:cNvPr descr="figures/Spheroids_distribution_China.png" id="86" name="Picture"/>
                          <pic:cNvPicPr>
                            <a:picLocks noChangeArrowheads="1" noChangeAspect="1"/>
                          </pic:cNvPicPr>
                        </pic:nvPicPr>
                        <pic:blipFill>
                          <a:blip r:embed="rId84"/>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w:t>
            </w:r>
          </w:p>
          <w:bookmarkEnd w:id="87"/>
        </w:tc>
      </w:tr>
    </w:tbl>
    <w:p>
      <w:pPr>
        <w:pStyle w:val="BodyText"/>
      </w:pPr>
      <w:r>
        <w:t xml:space="preserve">In China, spheroids constitute a technological category with broad temporal and spatial distribution</w:t>
      </w:r>
      <w:r>
        <w:t xml:space="preserve"> </w:t>
      </w:r>
      <w:r>
        <w:t xml:space="preserve">(Yi et al., 2012)</w:t>
      </w:r>
      <w:r>
        <w:t xml:space="preserve">, as shown in</w:t>
      </w:r>
      <w:r>
        <w:t xml:space="preserve"> </w:t>
      </w:r>
      <w:hyperlink w:anchor="fig-Spheroids_distribution_China">
        <w:r>
          <w:rPr>
            <w:rStyle w:val="Hyperlink"/>
          </w:rPr>
          <w:t xml:space="preserve">Figure 11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in Yunnan</w:t>
      </w:r>
      <w:r>
        <w:t xml:space="preserve"> </w:t>
      </w:r>
      <w:r>
        <w:t xml:space="preserve">(Wei et al., 1984)</w:t>
      </w:r>
      <w:r>
        <w:t xml:space="preserve">, while the northernmost spheroids come from the Jinsitai site in Inner Mongolia</w:t>
      </w:r>
      <w:r>
        <w:t xml:space="preserve"> </w:t>
      </w:r>
      <w:r>
        <w:t xml:space="preserve">(Wang et al., 2010)</w:t>
      </w:r>
      <w:r>
        <w:t xml:space="preserve">. The widespread occurrence of spheroids across time and space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China. However, that many of these findings derive from surface surveys rather than systematic excavations, and the recovered quantities are often limited. Thus, the number of spheroids per site varies considerably: 19 sites have yielded fewer than ten specimens each. By contrast, three sites—Xujiayao, Dingcun, and Jinsitai—have produced substantial assemblages, each exceeding 100 spheroids</w:t>
      </w:r>
      <w:r>
        <w:t xml:space="preserve"> </w:t>
      </w:r>
      <w:r>
        <w:t xml:space="preserve">(Shanxi Provincial Institute of Archaeology, 2014; Wang, 2016; Wang et al., 2010)</w:t>
      </w:r>
      <w:r>
        <w:t xml:space="preserve">. Notably, the Xujiayao site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Dingcun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Mujiaqiao,</w:t>
      </w:r>
      <w:r>
        <w:t xml:space="preserve"> </w:t>
      </w:r>
      <w:r>
        <w:t xml:space="preserve">(Wei et al., 1984)</w:t>
      </w:r>
      <w:r>
        <w:t xml:space="preserve">); pecking, where two blanks are struck together to round off edges—sometimes by splitting a cobble and using the halves against each other (e.g., Dingcun,</w:t>
      </w:r>
      <w:r>
        <w:t xml:space="preserve"> </w:t>
      </w:r>
      <w:r>
        <w:t xml:space="preserve">(Shanxi Provincial Institute of Archaeology, 2014)</w:t>
      </w:r>
      <w:r>
        <w:t xml:space="preserve">); and battering, involving repeated percussion of a polyhedrons (e.g., Zhoukoudian,</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Xujiayao and Dingcun,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Dingcun and Mujiaqiao, thick, flat cobbles were selected and shaped through peripheral flaking, producing roughly approximately cubic shape</w:t>
      </w:r>
      <w:r>
        <w:t xml:space="preserve"> </w:t>
      </w:r>
      <w:r>
        <w:t xml:space="preserve">(Tao et al., 1984; Wei et al., 1984)</w:t>
      </w:r>
      <w:r>
        <w:t xml:space="preserve">. Mujiaqiao specimens retain parts of the cortex, while at Dingcun, flakes with large exterior and small interior platform angles were removed from spheroid blank to increase edge angles and enhance sphericity</w:t>
      </w:r>
      <w:r>
        <w:t xml:space="preserve"> </w:t>
      </w:r>
      <w:r>
        <w:t xml:space="preserve">(Tao et al., 1984; Wei et al., 1984)</w:t>
      </w:r>
      <w:r>
        <w:t xml:space="preserve">. Of the six sites exhibiting similar strategies to QSY spehroids, all but Mujiaqiao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_distribution_China">
        <w:r>
          <w:rPr>
            <w:rStyle w:val="Hyperlink"/>
          </w:rPr>
          <w:t xml:space="preserve">Figure 11</w:t>
        </w:r>
      </w:hyperlink>
      <w:r>
        <w:t xml:space="preserve">). Notably, even sites previously classified as belonging to simple core and flake industries or Mode 1, such as Xujiayao,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we argue that faceted spheroids reflect a complex shaping strategy. Their presence within Acheulean contexts is understandable, as spheroids and LCTs share certain core technological features</w:t>
      </w:r>
      <w:r>
        <w:t xml:space="preserve">(Cabanès et al., 2024; Glynn L. Isaac, 1986; Leakey, 1971)</w:t>
      </w:r>
      <w:r>
        <w:t xml:space="preserve">. When faceted spheroids appear in more rudimentary industries or assemblages, it suggests that conceptual templates and advanced technological capacities were already present within those contexts.</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reflect a deliberate shaping strategy, may indicate a level of technical skill approaching that of the earliest Acheulean—or perhaps even foreshadowing their emergence.</w:t>
      </w:r>
    </w:p>
    <w:bookmarkEnd w:id="88"/>
    <w:bookmarkEnd w:id="89"/>
    <w:bookmarkStart w:id="90" w:name="conclusion"/>
    <w:p>
      <w:pPr>
        <w:pStyle w:val="Heading1"/>
      </w:pPr>
      <w:r>
        <w:t xml:space="preserve">Conclusion</w:t>
      </w:r>
    </w:p>
    <w:p>
      <w:pPr>
        <w:pStyle w:val="FirstParagraph"/>
      </w:pPr>
      <w:r>
        <w:t xml:space="preserve">This study provides one of the earliest systematic analyses focused on spheroids from northern China. By applying a range of quantitative methods, we conducted an integrated morphological and technological study of the QSY spheroids. Our results demonstrate that these spheroids were produced through a programmed reduction strategy aimed at achieving standardized spherical forms, primarily using hard-hammer direct percussion. The evidence of shaping strategies on QSY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QSY assemblage from ~429ka clearly reveals a higher level of technological sophistication.</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QSY and tend to appear within Acheulean or shaping-oriented techno-complexes, often dated later than QSY. This highlights the particular significance of the QSY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Our study employed multiple quantitative methods, including spherical harmonics, some of which are still relatively novel in lithic analysis. These approaches offer useful tools for in-depth spheroid research. 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spheroids—along with patterns of raw material selection, production goals, and associations with specific subsistence strategies or environmental adaptations—may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pPr>
        <w:pStyle w:val="BodyText"/>
      </w:pPr>
      <w:r>
        <w:t xml:space="preserve">Lastly, further research should explore the technological connections between faceted spheroids and the Acheulean. As core tools shaped through flaking, spheroids and LCTs may share underlying cognitive and manual skills. Examining their similarities and differences could offer valuable insights into the pathways of technological evolution between Oldowan and Acheulean traditions.</w:t>
      </w:r>
    </w:p>
    <w:p>
      <w:r>
        <w:br w:type="page"/>
      </w:r>
    </w:p>
    <w:bookmarkEnd w:id="90"/>
    <w:bookmarkStart w:id="196" w:name="references"/>
    <w:p>
      <w:pPr>
        <w:pStyle w:val="Heading1"/>
      </w:pPr>
      <w:r>
        <w:t xml:space="preserve">References</w:t>
      </w:r>
    </w:p>
    <w:bookmarkStart w:id="194" w:name="refs"/>
    <w:bookmarkStart w:id="91" w:name="ref-Van2023"/>
    <w:p>
      <w:pPr>
        <w:pStyle w:val="Bibliography"/>
      </w:pPr>
      <w:r>
        <w:t xml:space="preserve">Bavel, C. van, Thiels, W., Jelier, R., 2023. Cell shape characterization, alignment, and comparison using FlowShape. Bioinformatics 39, btad383.</w:t>
      </w:r>
    </w:p>
    <w:bookmarkEnd w:id="91"/>
    <w:bookmarkStart w:id="93"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2">
        <w:r>
          <w:rPr>
            <w:rStyle w:val="Hyperlink"/>
          </w:rPr>
          <w:t xml:space="preserve">https://doi.org/10.1073/pnas.1221285110</w:t>
        </w:r>
      </w:hyperlink>
    </w:p>
    <w:bookmarkEnd w:id="93"/>
    <w:bookmarkStart w:id="95"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4">
        <w:r>
          <w:rPr>
            <w:rStyle w:val="Hyperlink"/>
          </w:rPr>
          <w:t xml:space="preserve">https://doi.org/10.1073/pnas.1820177116</w:t>
        </w:r>
      </w:hyperlink>
    </w:p>
    <w:bookmarkEnd w:id="95"/>
    <w:bookmarkStart w:id="97"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6">
        <w:r>
          <w:rPr>
            <w:rStyle w:val="Hyperlink"/>
          </w:rPr>
          <w:t xml:space="preserve">https://doi.org/10.1007/s41982-024-00195-x</w:t>
        </w:r>
      </w:hyperlink>
    </w:p>
    <w:bookmarkEnd w:id="97"/>
    <w:bookmarkStart w:id="9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8"/>
    <w:bookmarkStart w:id="9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99"/>
    <w:bookmarkStart w:id="100" w:name="ref-Dai1973Lantian"/>
    <w:p>
      <w:pPr>
        <w:pStyle w:val="Bibliography"/>
      </w:pPr>
      <w:r>
        <w:t xml:space="preserve">Dai, E., Xu, C., 1973. New paleolithic materials and the lantian man culture. Kaogu Xuebao (Acta Archaeologica Sinica) 14.</w:t>
      </w:r>
    </w:p>
    <w:bookmarkEnd w:id="100"/>
    <w:bookmarkStart w:id="102" w:name="ref-delatorre2004"/>
    <w:p>
      <w:pPr>
        <w:pStyle w:val="Bibliography"/>
      </w:pPr>
      <w:r>
        <w:t xml:space="preserve">De La Torre, I., 2004. Omo Revisited: Evaluating the Technological Skills of Pliocene Hominids. Current Anthropology 45, 439–465.</w:t>
      </w:r>
      <w:r>
        <w:t xml:space="preserve"> </w:t>
      </w:r>
      <w:hyperlink r:id="rId101">
        <w:r>
          <w:rPr>
            <w:rStyle w:val="Hyperlink"/>
          </w:rPr>
          <w:t xml:space="preserve">https://doi.org/10.1086/422079</w:t>
        </w:r>
      </w:hyperlink>
    </w:p>
    <w:bookmarkEnd w:id="102"/>
    <w:bookmarkStart w:id="104" w:name="ref-deweyer2017"/>
    <w:p>
      <w:pPr>
        <w:pStyle w:val="Bibliography"/>
      </w:pPr>
      <w:r>
        <w:t xml:space="preserve">De Weyer, L., 2017. An Early Stone Age in Western Africa? Spheroids and polyhedrons at Ounjougou, Mali. Journal of Lithic Studies 4.</w:t>
      </w:r>
      <w:r>
        <w:t xml:space="preserve"> </w:t>
      </w:r>
      <w:hyperlink r:id="rId103">
        <w:r>
          <w:rPr>
            <w:rStyle w:val="Hyperlink"/>
          </w:rPr>
          <w:t xml:space="preserve">https://doi.org/10.2218/jls.v4i1.1682</w:t>
        </w:r>
      </w:hyperlink>
    </w:p>
    <w:bookmarkEnd w:id="104"/>
    <w:bookmarkStart w:id="105" w:name="ref-duke2021"/>
    <w:p>
      <w:pPr>
        <w:pStyle w:val="Bibliography"/>
      </w:pPr>
      <w:r>
        <w:t xml:space="preserve">Duke, H., Feibel, C., Harmand, S., 2021. Before the acheulean: The emergence of bifacial shaping at kokiselei 6 (1.8 ma), west turkana, kenya. Journal of Human Evolution 159, 103061.</w:t>
      </w:r>
    </w:p>
    <w:bookmarkEnd w:id="105"/>
    <w:bookmarkStart w:id="10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6">
        <w:r>
          <w:rPr>
            <w:rStyle w:val="Hyperlink"/>
          </w:rPr>
          <w:t xml:space="preserve">https://doi.org/10.2307/2694247</w:t>
        </w:r>
      </w:hyperlink>
    </w:p>
    <w:bookmarkEnd w:id="107"/>
    <w:bookmarkStart w:id="108" w:name="ref-Fang2002"/>
    <w:p>
      <w:pPr>
        <w:pStyle w:val="Bibliography"/>
      </w:pPr>
      <w:r>
        <w:t xml:space="preserve">Fang, Y., Wang, J., Liang, R., Wang, J., Zhai, Z., Yang, C., 2002. Paleolithic artifacts discovered at fangniushan, jurong county, jiangsu province. Acta Anthropologica Sinica 21, 41–49.</w:t>
      </w:r>
    </w:p>
    <w:bookmarkEnd w:id="108"/>
    <w:bookmarkStart w:id="109" w:name="ref-gallotti2018emergence"/>
    <w:p>
      <w:pPr>
        <w:pStyle w:val="Bibliography"/>
      </w:pPr>
      <w:r>
        <w:t xml:space="preserve">Gallotti, R., Mussi, M., others, 2018. The emergence of the acheulean in east africa and beyond. Speringer, Cham.</w:t>
      </w:r>
    </w:p>
    <w:bookmarkEnd w:id="109"/>
    <w:bookmarkStart w:id="111" w:name="ref-Grieb2022"/>
    <w:p>
      <w:pPr>
        <w:pStyle w:val="Bibliography"/>
      </w:pPr>
      <w:r>
        <w:t xml:space="preserve">Grieb, J., Barbero-García, I., Lerma, J.L., 2022. Spherical harmonics to quantify cranial asymmetry in deformational plagiocephaly. Scientific Reports 12, 167.</w:t>
      </w:r>
      <w:r>
        <w:t xml:space="preserve"> </w:t>
      </w:r>
      <w:hyperlink r:id="rId110">
        <w:r>
          <w:rPr>
            <w:rStyle w:val="Hyperlink"/>
          </w:rPr>
          <w:t xml:space="preserve">https://doi.org/10.1038/s41598-021-04181-z</w:t>
        </w:r>
      </w:hyperlink>
    </w:p>
    <w:bookmarkEnd w:id="111"/>
    <w:bookmarkStart w:id="112" w:name="ref-Harper2022"/>
    <w:p>
      <w:pPr>
        <w:pStyle w:val="Bibliography"/>
      </w:pPr>
      <w:r>
        <w:t xml:space="preserve">Harper, C.M., Goldstein, D.M., Sylvester, A.D., 2022. Comparing and combining sliding semilandmarks and weighted spherical harmonics for shape analysis. Journal of anatomy 240, 678–687.</w:t>
      </w:r>
    </w:p>
    <w:bookmarkEnd w:id="112"/>
    <w:bookmarkStart w:id="114"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3">
        <w:r>
          <w:rPr>
            <w:rStyle w:val="Hyperlink"/>
          </w:rPr>
          <w:t xml:space="preserve">https://doi.org/10.1242/dev.202251</w:t>
        </w:r>
      </w:hyperlink>
    </w:p>
    <w:bookmarkEnd w:id="114"/>
    <w:bookmarkStart w:id="115" w:name="ref-Huang1964Sanmenxia"/>
    <w:p>
      <w:pPr>
        <w:pStyle w:val="Bibliography"/>
      </w:pPr>
      <w:r>
        <w:t xml:space="preserve">Huang, W., 1964. Paleolithic artifacts from the sanmenxia region in western henan. Vertebrata PalAsiatica 66–85.</w:t>
      </w:r>
    </w:p>
    <w:bookmarkEnd w:id="115"/>
    <w:bookmarkStart w:id="116" w:name="ref-inizan1999"/>
    <w:p>
      <w:pPr>
        <w:pStyle w:val="Bibliography"/>
      </w:pPr>
      <w:r>
        <w:t xml:space="preserve">Inizan, M.-L., Reduron-Ballinger, M., Roche, H., 1999. Technology and terminology of knapped stone, 5th ed. Cercle de Recherches et d’Études Préhistoriques, Nanterre.</w:t>
      </w:r>
    </w:p>
    <w:bookmarkEnd w:id="116"/>
    <w:bookmarkStart w:id="117"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7"/>
    <w:bookmarkStart w:id="118" w:name="ref-isaac1986foundation"/>
    <w:p>
      <w:pPr>
        <w:pStyle w:val="Bibliography"/>
      </w:pPr>
      <w:r>
        <w:t xml:space="preserve">Isaac, Glynn L., 1986. Foundation stones: Early artefacts as indicators of activities and abilities. Stone Age prehistory: studies in memory of Charles McBurney 221–241.</w:t>
      </w:r>
    </w:p>
    <w:bookmarkEnd w:id="118"/>
    <w:bookmarkStart w:id="119"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19"/>
    <w:bookmarkStart w:id="120" w:name="ref-Jia1962Kehe"/>
    <w:p>
      <w:pPr>
        <w:pStyle w:val="Bibliography"/>
      </w:pPr>
      <w:r>
        <w:t xml:space="preserve">Jia, L., 1962. Kehe: An early paleolithic cultural site in southwestern shanxi. Science Press.</w:t>
      </w:r>
    </w:p>
    <w:bookmarkEnd w:id="120"/>
    <w:bookmarkStart w:id="121" w:name="ref-Jia1959Xigou"/>
    <w:p>
      <w:pPr>
        <w:pStyle w:val="Bibliography"/>
      </w:pPr>
      <w:r>
        <w:t xml:space="preserve">Jia, L., 1959. A paleolithic cultural site at xigou, licun, quwo county, shanxi province. Kaogu (Archaeology) 6.</w:t>
      </w:r>
    </w:p>
    <w:bookmarkEnd w:id="121"/>
    <w:bookmarkStart w:id="122" w:name="ref-Jia1976Xujayao"/>
    <w:p>
      <w:pPr>
        <w:pStyle w:val="Bibliography"/>
      </w:pPr>
      <w:r>
        <w:t xml:space="preserve">Jia, L., Wei, Q., 1976. The paleolithic cultural site of xujayao, yanggao. Kaogu Xuebao (Acta Archaeologica Sinica) 24.</w:t>
      </w:r>
    </w:p>
    <w:bookmarkEnd w:id="122"/>
    <w:bookmarkStart w:id="123" w:name="ref-Jia1979Xujayao"/>
    <w:p>
      <w:pPr>
        <w:pStyle w:val="Bibliography"/>
      </w:pPr>
      <w:r>
        <w:t xml:space="preserve">Jia, L., Wei, Q., Li, C., 1979. Excavation report of the xujayao paleolithic cultural site in 1976. Vertebrata PalAsiatica 17–33, 87–90.</w:t>
      </w:r>
    </w:p>
    <w:bookmarkEnd w:id="123"/>
    <w:bookmarkStart w:id="124" w:name="ref-jones1994"/>
    <w:p>
      <w:pPr>
        <w:pStyle w:val="Bibliography"/>
      </w:pPr>
      <w:r>
        <w:t xml:space="preserve">Jones, P.R., others, 1994. Results of experimental work in relation to the stone industries of olduvai gorge. Olduvai gorge 5, 1968–1971.</w:t>
      </w:r>
    </w:p>
    <w:bookmarkEnd w:id="124"/>
    <w:bookmarkStart w:id="125"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5"/>
    <w:bookmarkStart w:id="126" w:name="ref-leakey1979"/>
    <w:p>
      <w:pPr>
        <w:pStyle w:val="Bibliography"/>
      </w:pPr>
      <w:r>
        <w:t xml:space="preserve">Leakey, M.D., 1979. Olduvai gorge: My search for early man. William Collins, London.</w:t>
      </w:r>
    </w:p>
    <w:bookmarkEnd w:id="126"/>
    <w:bookmarkStart w:id="127" w:name="ref-leakey1971"/>
    <w:p>
      <w:pPr>
        <w:pStyle w:val="Bibliography"/>
      </w:pPr>
      <w:r>
        <w:t xml:space="preserve">Leakey, M.D., 1971. Olduvai gorge, vol. 3: Excavations in beds i and II, 1960–1963. Cambridge University Press, Cambridge.</w:t>
      </w:r>
    </w:p>
    <w:bookmarkEnd w:id="127"/>
    <w:bookmarkStart w:id="128" w:name="ref-Li1991"/>
    <w:p>
      <w:pPr>
        <w:pStyle w:val="Bibliography"/>
      </w:pPr>
      <w:r>
        <w:t xml:space="preserve">Li, C., Xu, C., 1991. Paleolithic artifacts discovered at the liao river in anyi, jiangxi, and their significance. Acta Anthropologica Sinica 10, 8.</w:t>
      </w:r>
    </w:p>
    <w:bookmarkEnd w:id="128"/>
    <w:bookmarkStart w:id="129" w:name="ref-li2000"/>
    <w:p>
      <w:pPr>
        <w:pStyle w:val="Bibliography"/>
      </w:pPr>
      <w:r>
        <w:t xml:space="preserve">Li, R., Qiao, J., Qiu, W., Zhai, Q., Li, Y., 2000. Soluble salt deposit in the nihewan beds and its environmental significance. Science in China Series D: Earth Sciences 43, 464–479.</w:t>
      </w:r>
    </w:p>
    <w:bookmarkEnd w:id="129"/>
    <w:bookmarkStart w:id="130" w:name="ref-lin2024"/>
    <w:p>
      <w:pPr>
        <w:pStyle w:val="Bibliography"/>
      </w:pPr>
      <w:r>
        <w:t xml:space="preserve">Lin, S.C., 2024. A new method for quantifying flake scar organisation on cores using orientation statistics. Journal of Archaeological Science.</w:t>
      </w:r>
    </w:p>
    <w:bookmarkEnd w:id="130"/>
    <w:bookmarkStart w:id="131"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1"/>
    <w:bookmarkStart w:id="132" w:name="ref-Liu1984Jingchuan"/>
    <w:p>
      <w:pPr>
        <w:pStyle w:val="Bibliography"/>
      </w:pPr>
      <w:r>
        <w:t xml:space="preserve">Liu, Y., Huang, W., Lin, Y., 1984. Human fossils and paleolithic artifacts discovered in jingchuan, gansu province. Acta Anthropologica Sinica 11.</w:t>
      </w:r>
    </w:p>
    <w:bookmarkEnd w:id="132"/>
    <w:bookmarkStart w:id="133" w:name="ref-LixianMuseum1992"/>
    <w:p>
      <w:pPr>
        <w:pStyle w:val="Bibliography"/>
      </w:pPr>
      <w:r>
        <w:t xml:space="preserve">Lixian County Museum, 1992. A brief report on the paleolithic localities at zhangjiatan and xiangong in lixian, hunan province. Huaxia Archaeology 8.</w:t>
      </w:r>
    </w:p>
    <w:bookmarkEnd w:id="133"/>
    <w:bookmarkStart w:id="134" w:name="ref-Lu2021Spheroids"/>
    <w:p>
      <w:pPr>
        <w:pStyle w:val="Bibliography"/>
      </w:pPr>
      <w:r>
        <w:t xml:space="preserve">Lu, L., Dong, B., Chen, S., 2021. An experimental study on stone spheroids from the paleolithic period in china. Acta Anthropologica Sinica 40, 13.</w:t>
      </w:r>
    </w:p>
    <w:bookmarkEnd w:id="134"/>
    <w:bookmarkStart w:id="135"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5"/>
    <w:bookmarkStart w:id="136" w:name="ref-Ma2011Xujayao"/>
    <w:p>
      <w:pPr>
        <w:pStyle w:val="Bibliography"/>
      </w:pPr>
      <w:r>
        <w:t xml:space="preserve">Ma, N., Pei, S., Gao, X., 2011. Study of lithic artifacts excavated from locality 74093 at the xujayao site in 1977. Acta Anthropologica Sinica 30, 14.</w:t>
      </w:r>
    </w:p>
    <w:bookmarkEnd w:id="136"/>
    <w:bookmarkStart w:id="13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7"/>
    <w:bookmarkStart w:id="13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8">
        <w:r>
          <w:rPr>
            <w:rStyle w:val="Hyperlink"/>
          </w:rPr>
          <w:t xml:space="preserve">https://doi.org/10.1016/j.jaa.2004.12.001</w:t>
        </w:r>
      </w:hyperlink>
    </w:p>
    <w:bookmarkEnd w:id="139"/>
    <w:bookmarkStart w:id="14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0"/>
    <w:bookmarkStart w:id="142" w:name="ref-muller2023"/>
    <w:p>
      <w:pPr>
        <w:pStyle w:val="Bibliography"/>
      </w:pPr>
      <w:r>
        <w:t xml:space="preserve">Muller, A., Clarkson, C., 2023. Filling in the blanks: Standardization of lithic flake production throughout the stone age. Lithic Technology 48, 222–236.</w:t>
      </w:r>
      <w:r>
        <w:t xml:space="preserve"> </w:t>
      </w:r>
      <w:hyperlink r:id="rId141">
        <w:r>
          <w:rPr>
            <w:rStyle w:val="Hyperlink"/>
          </w:rPr>
          <w:t xml:space="preserve">https://doi.org/10.1080/01977261.2022.2103290</w:t>
        </w:r>
      </w:hyperlink>
    </w:p>
    <w:bookmarkEnd w:id="142"/>
    <w:bookmarkStart w:id="14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3">
        <w:r>
          <w:rPr>
            <w:rStyle w:val="Hyperlink"/>
          </w:rPr>
          <w:t xml:space="preserve">https://doi.org/10.1016/j.quaint.2025.109681</w:t>
        </w:r>
      </w:hyperlink>
    </w:p>
    <w:bookmarkEnd w:id="144"/>
    <w:bookmarkStart w:id="14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5"/>
    <w:bookmarkStart w:id="14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6"/>
    <w:bookmarkStart w:id="14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7">
        <w:r>
          <w:rPr>
            <w:rStyle w:val="Hyperlink"/>
          </w:rPr>
          <w:t xml:space="preserve">https://doi.org/10.1016/j.palaeo.2019.05.014</w:t>
        </w:r>
      </w:hyperlink>
    </w:p>
    <w:bookmarkEnd w:id="148"/>
    <w:bookmarkStart w:id="149" w:name="ref-pei2002"/>
    <w:p>
      <w:pPr>
        <w:pStyle w:val="Bibliography"/>
      </w:pPr>
      <w:r>
        <w:t xml:space="preserve">Pei, S., Hou, Y., 2002. Preliminary study on raw materials exploitation at donggutuo site, nihewan basin, north china. Acta Anthropologica Sinica 21, 53–66.</w:t>
      </w:r>
    </w:p>
    <w:bookmarkEnd w:id="149"/>
    <w:bookmarkStart w:id="151"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0">
        <w:r>
          <w:rPr>
            <w:rStyle w:val="Hyperlink"/>
          </w:rPr>
          <w:t xml:space="preserve">https://doi.org/10.1371/journal.pone.0187251</w:t>
        </w:r>
      </w:hyperlink>
    </w:p>
    <w:bookmarkEnd w:id="151"/>
    <w:bookmarkStart w:id="153"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2">
        <w:r>
          <w:rPr>
            <w:rStyle w:val="Hyperlink"/>
          </w:rPr>
          <w:t xml:space="preserve">https://doi.org/10.1006/jasc.1996.0152</w:t>
        </w:r>
      </w:hyperlink>
    </w:p>
    <w:bookmarkEnd w:id="153"/>
    <w:bookmarkStart w:id="154"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4"/>
    <w:bookmarkStart w:id="155" w:name="ref-SXA2014Dingcun"/>
    <w:p>
      <w:pPr>
        <w:pStyle w:val="Bibliography"/>
      </w:pPr>
      <w:r>
        <w:t xml:space="preserve">Shanxi Provincial Institute of Archaeology, 2014. The dingcun paleolithic site complex: Excavation report of the dingcun sites (1976–1980). Cultural Relics Publishing House.</w:t>
      </w:r>
    </w:p>
    <w:bookmarkEnd w:id="155"/>
    <w:bookmarkStart w:id="157" w:name="ref-stout2015"/>
    <w:p>
      <w:pPr>
        <w:pStyle w:val="Bibliography"/>
      </w:pPr>
      <w:r>
        <w:t xml:space="preserve">Stout, D., Hecht, E., Khreisheh, N., Bradley, B., Chaminade, T., 2015. Cognitive Demands of Lower Paleolithic Toolmaking. PLOS ONE 10, e0121804.</w:t>
      </w:r>
      <w:r>
        <w:t xml:space="preserve"> </w:t>
      </w:r>
      <w:hyperlink r:id="rId156">
        <w:r>
          <w:rPr>
            <w:rStyle w:val="Hyperlink"/>
          </w:rPr>
          <w:t xml:space="preserve">https://doi.org/10.1371/journal.pone.0121804</w:t>
        </w:r>
      </w:hyperlink>
    </w:p>
    <w:bookmarkEnd w:id="157"/>
    <w:bookmarkStart w:id="158" w:name="ref-Tan1999"/>
    <w:p>
      <w:pPr>
        <w:pStyle w:val="Bibliography"/>
      </w:pPr>
      <w:r>
        <w:t xml:space="preserve">Tan, Y., 1999. A report on the paleolithic locality on the northern slope of huzhua mountain. Hunan Archaeological Journal 15.</w:t>
      </w:r>
    </w:p>
    <w:bookmarkEnd w:id="158"/>
    <w:bookmarkStart w:id="159" w:name="ref-Tao1984Dingcun"/>
    <w:p>
      <w:pPr>
        <w:pStyle w:val="Bibliography"/>
      </w:pPr>
      <w:r>
        <w:t xml:space="preserve">Tao, F., Liang, Z., Xie, X., Yin, Z., Ding, W., Hu, W., Ding, S., Yang, F., Yin, L., Xie, X., 1984. Excavation report of locality 80:01 at the dingcun paleolithic site. Prehistoric Research 57–68.</w:t>
      </w:r>
    </w:p>
    <w:bookmarkEnd w:id="159"/>
    <w:bookmarkStart w:id="160"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0"/>
    <w:bookmarkStart w:id="162"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1">
        <w:r>
          <w:rPr>
            <w:rStyle w:val="Hyperlink"/>
          </w:rPr>
          <w:t xml:space="preserve">https://doi.org/10.1371/journal.pone.0228290</w:t>
        </w:r>
      </w:hyperlink>
    </w:p>
    <w:bookmarkEnd w:id="162"/>
    <w:bookmarkStart w:id="163" w:name="ref-de2018oldowan"/>
    <w:p>
      <w:pPr>
        <w:pStyle w:val="Bibliography"/>
      </w:pPr>
      <w:r>
        <w:t xml:space="preserve">Torre, I. de la, Mora, R., 2018. Oldowan technological behaviour at HWK EE (olduvai gorge, tanzania). Journal of Human Evolution 120, 236–273.</w:t>
      </w:r>
    </w:p>
    <w:bookmarkEnd w:id="163"/>
    <w:bookmarkStart w:id="165"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4">
        <w:r>
          <w:rPr>
            <w:rStyle w:val="Hyperlink"/>
          </w:rPr>
          <w:t xml:space="preserve">https://doi.org/10.1007/s10816-017-9339-x</w:t>
        </w:r>
      </w:hyperlink>
    </w:p>
    <w:bookmarkEnd w:id="165"/>
    <w:bookmarkStart w:id="167"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6">
        <w:r>
          <w:rPr>
            <w:rStyle w:val="Hyperlink"/>
          </w:rPr>
          <w:t xml:space="preserve">https://doi.org/10.1086/624298</w:t>
        </w:r>
      </w:hyperlink>
    </w:p>
    <w:bookmarkEnd w:id="167"/>
    <w:bookmarkStart w:id="168" w:name="ref-Wang2016Houjiayao"/>
    <w:p>
      <w:pPr>
        <w:pStyle w:val="Bibliography"/>
      </w:pPr>
      <w:r>
        <w:t xml:space="preserve">Wang, F., 2016. Comprehensive study of the houjiayao site (Ph.D. dissertation). Hebei Normal University.</w:t>
      </w:r>
    </w:p>
    <w:bookmarkEnd w:id="168"/>
    <w:bookmarkStart w:id="169" w:name="ref-Wang2000Yaoshi"/>
    <w:p>
      <w:pPr>
        <w:pStyle w:val="Bibliography"/>
      </w:pPr>
      <w:r>
        <w:t xml:space="preserve">Wang, S., Hu, S., 2000. Paleolithic artifacts from the yaoshi basin, upper danjiang river. Kaogu yu Wenwu (Archaeology and Cultural Relics) 7.</w:t>
      </w:r>
    </w:p>
    <w:bookmarkEnd w:id="169"/>
    <w:bookmarkStart w:id="170"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0"/>
    <w:bookmarkStart w:id="171"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1"/>
    <w:bookmarkStart w:id="172" w:name="ref-Wang2010Jinstai"/>
    <w:p>
      <w:pPr>
        <w:pStyle w:val="Bibliography"/>
      </w:pPr>
      <w:r>
        <w:t xml:space="preserve">Wang, X., Wei, J., Chen, Q., Tang, Z., Wang, C., 2010. Excavation report of the jinstai cave site, inner mongolia. Acta Anthropologica Sinica 18.</w:t>
      </w:r>
    </w:p>
    <w:bookmarkEnd w:id="172"/>
    <w:bookmarkStart w:id="173" w:name="ref-Wei1984"/>
    <w:p>
      <w:pPr>
        <w:pStyle w:val="Bibliography"/>
      </w:pPr>
      <w:r>
        <w:t xml:space="preserve">Wei, Q., Huang, W., Zhang, X., 1984. Newly discovered paleolithic artifacts at mujiaqiao, lijiang. Acta Anthropologica Sinica 11.</w:t>
      </w:r>
    </w:p>
    <w:bookmarkEnd w:id="173"/>
    <w:bookmarkStart w:id="175" w:name="ref-willoughby1985"/>
    <w:p>
      <w:pPr>
        <w:pStyle w:val="Bibliography"/>
      </w:pPr>
      <w:r>
        <w:t xml:space="preserve">Willoughby, P.R., 1985. Spheroids and battered stones in the African Early Stone Age. World Archaeology 17, 44–60.</w:t>
      </w:r>
      <w:r>
        <w:t xml:space="preserve"> </w:t>
      </w:r>
      <w:hyperlink r:id="rId174">
        <w:r>
          <w:rPr>
            <w:rStyle w:val="Hyperlink"/>
          </w:rPr>
          <w:t xml:space="preserve">https://doi.org/10.1080/00438243.1985.9979949</w:t>
        </w:r>
      </w:hyperlink>
    </w:p>
    <w:bookmarkEnd w:id="175"/>
    <w:bookmarkStart w:id="176" w:name="ref-Wu1989Dangcheng"/>
    <w:p>
      <w:pPr>
        <w:pStyle w:val="Bibliography"/>
      </w:pPr>
      <w:r>
        <w:t xml:space="preserve">Wu, Z., Sun, B., 1989. Preliminary study of the paleolithic cave site complex at dangcheng, heshun county, shanxi province. Acta Anthropologica Sinica 8, 12.</w:t>
      </w:r>
    </w:p>
    <w:bookmarkEnd w:id="176"/>
    <w:bookmarkStart w:id="177" w:name="ref-wynn1995"/>
    <w:p>
      <w:pPr>
        <w:pStyle w:val="Bibliography"/>
      </w:pPr>
      <w:r>
        <w:t xml:space="preserve">Wynn, T., 1995. Handaxe enigmas. World Archaeology 27, 10–24.</w:t>
      </w:r>
    </w:p>
    <w:bookmarkEnd w:id="177"/>
    <w:bookmarkStart w:id="178" w:name="ref-Xi1994"/>
    <w:p>
      <w:pPr>
        <w:pStyle w:val="Bibliography"/>
      </w:pPr>
      <w:r>
        <w:t xml:space="preserve">Xi, D., 1994. A report on the paleolithic survey in the lower reaches of the yuan river. Hunan Archaeological Journal 6.</w:t>
      </w:r>
    </w:p>
    <w:bookmarkEnd w:id="178"/>
    <w:bookmarkStart w:id="179"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79"/>
    <w:bookmarkStart w:id="180" w:name="ref-XiaokongshanTeam1988"/>
    <w:p>
      <w:pPr>
        <w:pStyle w:val="Bibliography"/>
      </w:pPr>
      <w:r>
        <w:t xml:space="preserve">Xiaokongshan Joint Excavation Team, 1988. Excavation report of the xiaokongshan paleolithic site in nanzhao, henan, in 1987. Huaxia Archaeology 15.</w:t>
      </w:r>
    </w:p>
    <w:bookmarkEnd w:id="180"/>
    <w:bookmarkStart w:id="181" w:name="ref-Xie1982Liujiacha"/>
    <w:p>
      <w:pPr>
        <w:pStyle w:val="Bibliography"/>
      </w:pPr>
      <w:r>
        <w:t xml:space="preserve">Xie, J., 1982. The paleolithic site at liujiacha, huan county, gansu province. Kaogu Xuebao (Acta Archaeologica Sinica) 16.</w:t>
      </w:r>
    </w:p>
    <w:bookmarkEnd w:id="181"/>
    <w:bookmarkStart w:id="183"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2">
        <w:r>
          <w:rPr>
            <w:rStyle w:val="Hyperlink"/>
          </w:rPr>
          <w:t xml:space="preserve">https://doi.org/10.1002/evan.21813</w:t>
        </w:r>
      </w:hyperlink>
    </w:p>
    <w:bookmarkEnd w:id="183"/>
    <w:bookmarkStart w:id="185"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4">
        <w:r>
          <w:rPr>
            <w:rStyle w:val="Hyperlink"/>
          </w:rPr>
          <w:t xml:space="preserve">https://doi.org/10.1371/journal.pone.0185101</w:t>
        </w:r>
      </w:hyperlink>
    </w:p>
    <w:bookmarkEnd w:id="185"/>
    <w:bookmarkStart w:id="186"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6"/>
    <w:bookmarkStart w:id="187" w:name="ref-Yi2012Spheroids"/>
    <w:p>
      <w:pPr>
        <w:pStyle w:val="Bibliography"/>
      </w:pPr>
      <w:r>
        <w:t xml:space="preserve">Yi, M., Gao, X., Pei, S., 2012. A preliminary analysis of the definition, classification, and function of stone spheroids. Acta Anthropologica Sinica 31, 9.</w:t>
      </w:r>
    </w:p>
    <w:bookmarkEnd w:id="187"/>
    <w:bookmarkStart w:id="188"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8"/>
    <w:bookmarkStart w:id="189" w:name="ref-yuwei2023"/>
    <w:p>
      <w:pPr>
        <w:pStyle w:val="Bibliography"/>
      </w:pPr>
      <w:r>
        <w:t xml:space="preserve">Yuwei, D., Yue, Z., Zhi, Y., Shuwen, P., 2023. A taphonomic analysis of faunal remains from the jijiazhuang paleolithic site in the yuxian basin. Acta Anthropologica Sinica 42, 359.</w:t>
      </w:r>
    </w:p>
    <w:bookmarkEnd w:id="189"/>
    <w:bookmarkStart w:id="19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0">
        <w:r>
          <w:rPr>
            <w:rStyle w:val="Hyperlink"/>
          </w:rPr>
          <w:t xml:space="preserve">https://doi.org/10.1038/35096551</w:t>
        </w:r>
      </w:hyperlink>
    </w:p>
    <w:bookmarkEnd w:id="191"/>
    <w:bookmarkStart w:id="19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2">
        <w:r>
          <w:rPr>
            <w:rStyle w:val="Hyperlink"/>
          </w:rPr>
          <w:t xml:space="preserve">https://doi.org/10.1038/nature02829</w:t>
        </w:r>
      </w:hyperlink>
    </w:p>
    <w:bookmarkEnd w:id="193"/>
    <w:bookmarkEnd w:id="194"/>
    <w:p>
      <w:r>
        <w:br w:type="page"/>
      </w:r>
    </w:p>
    <w:bookmarkStart w:id="195" w:name="colophon"/>
    <w:p>
      <w:pPr>
        <w:pStyle w:val="Heading3"/>
      </w:pPr>
      <w:r>
        <w:t xml:space="preserve">Colophon</w:t>
      </w:r>
    </w:p>
    <w:p>
      <w:pPr>
        <w:pStyle w:val="FirstParagraph"/>
      </w:pPr>
      <w:r>
        <w:t xml:space="preserve">This report was generated on 2025-07-13 18:25:45.547765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Asia/Shanghai</w:t>
      </w:r>
      <w:r>
        <w:br/>
      </w:r>
      <w:r>
        <w:rPr>
          <w:rStyle w:val="VerbatimChar"/>
        </w:rPr>
        <w:t xml:space="preserve"> date     2025-07-13</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[0659f6b] 2025-07-12: editing methods section</w:t>
      </w:r>
    </w:p>
    <w:bookmarkEnd w:id="195"/>
    <w:bookmarkEnd w:id="19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23" Target="media/rId23.png" /><Relationship Type="http://schemas.openxmlformats.org/officeDocument/2006/relationships/image" Id="rId45" Target="media/rId45.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76" Target="media/rId76.png" /><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Shaping strategies and standardisation of faceted spheroids from Qianshangying (North China)</dc:title>
  <dc:creator>Yi Zhe2,✉, Ben Marwick1,✉, Li Hao2, and Shuwen Pei2</dc:creator>
  <cp:keywords/>
  <dcterms:created xsi:type="dcterms:W3CDTF">2025-07-13T10:25:52Z</dcterms:created>
  <dcterms:modified xsi:type="dcterms:W3CDTF">2025-07-13T10:25:52Z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July 13,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